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79A5" w14:textId="567CCCE3" w:rsidR="00056DD9" w:rsidRDefault="00056DD9" w:rsidP="000563E5">
      <w:pPr>
        <w:jc w:val="center"/>
        <w:rPr>
          <w:rFonts w:ascii="Verdana" w:hAnsi="Verdana"/>
          <w:b/>
          <w:sz w:val="13"/>
          <w:szCs w:val="13"/>
        </w:rPr>
      </w:pPr>
      <w:r w:rsidRPr="00056DD9">
        <w:rPr>
          <w:rFonts w:ascii="Verdana" w:hAnsi="Verdana"/>
          <w:b/>
          <w:sz w:val="13"/>
          <w:szCs w:val="13"/>
        </w:rPr>
        <w:t>Kryteria Kwalifikowalności</w:t>
      </w:r>
    </w:p>
    <w:p w14:paraId="2CE29046" w14:textId="54FD9819" w:rsidR="00F43666" w:rsidRPr="000563E5" w:rsidRDefault="00F43666" w:rsidP="000563E5">
      <w:pPr>
        <w:pStyle w:val="Akapitzlist"/>
        <w:numPr>
          <w:ilvl w:val="0"/>
          <w:numId w:val="22"/>
        </w:numPr>
        <w:rPr>
          <w:rFonts w:ascii="Verdana" w:hAnsi="Verdana"/>
          <w:sz w:val="13"/>
          <w:szCs w:val="13"/>
        </w:rPr>
      </w:pPr>
      <w:r w:rsidRPr="000563E5">
        <w:rPr>
          <w:rFonts w:ascii="Verdana" w:hAnsi="Verdana"/>
          <w:sz w:val="13"/>
          <w:szCs w:val="13"/>
        </w:rPr>
        <w:t xml:space="preserve">Kwalifikujący się </w:t>
      </w:r>
      <w:r w:rsidR="00F36DE9" w:rsidRPr="000563E5">
        <w:rPr>
          <w:rFonts w:ascii="Verdana" w:hAnsi="Verdana"/>
          <w:sz w:val="13"/>
          <w:szCs w:val="13"/>
        </w:rPr>
        <w:t>Beneficjenci Końcowi</w:t>
      </w:r>
      <w:r w:rsidR="00F8340C" w:rsidRPr="000563E5">
        <w:rPr>
          <w:rFonts w:ascii="Verdana" w:hAnsi="Verdana"/>
          <w:sz w:val="13"/>
          <w:szCs w:val="13"/>
        </w:rPr>
        <w:t xml:space="preserve">: definicja MŚP oraz </w:t>
      </w:r>
      <w:r w:rsidR="00DF084B" w:rsidRPr="000563E5">
        <w:rPr>
          <w:rFonts w:ascii="Verdana" w:hAnsi="Verdana"/>
          <w:sz w:val="13"/>
          <w:szCs w:val="13"/>
        </w:rPr>
        <w:t>MidCap</w:t>
      </w:r>
    </w:p>
    <w:p w14:paraId="0AC5A579" w14:textId="6D6FFE9F" w:rsidR="00056DD9" w:rsidRDefault="00056DD9" w:rsidP="00056DD9">
      <w:pPr>
        <w:jc w:val="both"/>
        <w:rPr>
          <w:rFonts w:ascii="Verdana" w:hAnsi="Verdana"/>
          <w:sz w:val="13"/>
          <w:szCs w:val="13"/>
        </w:rPr>
      </w:pPr>
      <w:r w:rsidRPr="00056DD9">
        <w:rPr>
          <w:rFonts w:ascii="Verdana" w:hAnsi="Verdana"/>
          <w:sz w:val="13"/>
          <w:szCs w:val="13"/>
        </w:rPr>
        <w:t xml:space="preserve">Kwalifikujący się </w:t>
      </w:r>
      <w:r w:rsidR="00F36DE9">
        <w:rPr>
          <w:rFonts w:ascii="Verdana" w:hAnsi="Verdana"/>
          <w:sz w:val="13"/>
          <w:szCs w:val="13"/>
        </w:rPr>
        <w:t>Beneficjenci Końcowi</w:t>
      </w:r>
      <w:r w:rsidRPr="00056DD9">
        <w:rPr>
          <w:rFonts w:ascii="Verdana" w:hAnsi="Verdana"/>
          <w:sz w:val="13"/>
          <w:szCs w:val="13"/>
        </w:rPr>
        <w:t xml:space="preserve"> to małe i średnie przedsiębiorstwa („MŚP”), zdefiniowane jako przedsiębiorstwa zatrudniające mniej niż 250 pracowników (</w:t>
      </w:r>
      <w:r w:rsidR="00F8340C">
        <w:rPr>
          <w:rFonts w:ascii="Verdana" w:hAnsi="Verdana"/>
          <w:sz w:val="13"/>
          <w:szCs w:val="13"/>
        </w:rPr>
        <w:t>etat</w:t>
      </w:r>
      <w:r w:rsidR="00F36DE9">
        <w:rPr>
          <w:rFonts w:ascii="Verdana" w:hAnsi="Verdana"/>
          <w:sz w:val="13"/>
          <w:szCs w:val="13"/>
        </w:rPr>
        <w:t>ów</w:t>
      </w:r>
      <w:r w:rsidRPr="00056DD9">
        <w:rPr>
          <w:rFonts w:ascii="Verdana" w:hAnsi="Verdana"/>
          <w:sz w:val="13"/>
          <w:szCs w:val="13"/>
        </w:rPr>
        <w:t>), w tym mikroprzedsiębiorstwa</w:t>
      </w:r>
      <w:r w:rsidR="00F36DE9">
        <w:rPr>
          <w:rFonts w:ascii="Verdana" w:hAnsi="Verdana"/>
          <w:sz w:val="13"/>
          <w:szCs w:val="13"/>
        </w:rPr>
        <w:t xml:space="preserve"> – </w:t>
      </w:r>
      <w:r w:rsidRPr="00056DD9">
        <w:rPr>
          <w:rFonts w:ascii="Verdana" w:hAnsi="Verdana"/>
          <w:sz w:val="13"/>
          <w:szCs w:val="13"/>
        </w:rPr>
        <w:t>przedsiębiorstwa zatrudn</w:t>
      </w:r>
      <w:r w:rsidR="00F8340C">
        <w:rPr>
          <w:rFonts w:ascii="Verdana" w:hAnsi="Verdana"/>
          <w:sz w:val="13"/>
          <w:szCs w:val="13"/>
        </w:rPr>
        <w:t xml:space="preserve">iające mniej niż 10 pracowników </w:t>
      </w:r>
      <w:r w:rsidRPr="00056DD9">
        <w:rPr>
          <w:rFonts w:ascii="Verdana" w:hAnsi="Verdana"/>
          <w:sz w:val="13"/>
          <w:szCs w:val="13"/>
        </w:rPr>
        <w:t xml:space="preserve">lub </w:t>
      </w:r>
      <w:r w:rsidR="00DF084B" w:rsidRPr="00056DD9">
        <w:rPr>
          <w:rFonts w:ascii="Verdana" w:hAnsi="Verdana"/>
          <w:sz w:val="13"/>
          <w:szCs w:val="13"/>
        </w:rPr>
        <w:t>M</w:t>
      </w:r>
      <w:r w:rsidR="00DF084B">
        <w:rPr>
          <w:rFonts w:ascii="Verdana" w:hAnsi="Verdana"/>
          <w:sz w:val="13"/>
          <w:szCs w:val="13"/>
        </w:rPr>
        <w:t>idCap</w:t>
      </w:r>
      <w:r w:rsidRPr="00056DD9">
        <w:rPr>
          <w:rFonts w:ascii="Verdana" w:hAnsi="Verdana"/>
          <w:sz w:val="13"/>
          <w:szCs w:val="13"/>
        </w:rPr>
        <w:t xml:space="preserve"> zdefiniowane jako przedsiębiorstwa zatrudniające co najmniej 250 i mniej niż 3000</w:t>
      </w:r>
      <w:r w:rsidR="00955122">
        <w:rPr>
          <w:rFonts w:ascii="Verdana" w:hAnsi="Verdana"/>
          <w:sz w:val="13"/>
          <w:szCs w:val="13"/>
        </w:rPr>
        <w:t xml:space="preserve"> pracowników (etatów)</w:t>
      </w:r>
      <w:r w:rsidRPr="00056DD9">
        <w:rPr>
          <w:rFonts w:ascii="Verdana" w:hAnsi="Verdana"/>
          <w:sz w:val="13"/>
          <w:szCs w:val="13"/>
        </w:rPr>
        <w:t>.</w:t>
      </w:r>
    </w:p>
    <w:p w14:paraId="7A264C9A" w14:textId="26ECABE9" w:rsidR="00DF084B" w:rsidRDefault="000A5468" w:rsidP="00955122">
      <w:pPr>
        <w:jc w:val="both"/>
        <w:rPr>
          <w:rFonts w:ascii="Verdana" w:hAnsi="Verdana"/>
          <w:sz w:val="13"/>
          <w:szCs w:val="13"/>
        </w:rPr>
      </w:pPr>
      <w:r w:rsidRPr="000A5468">
        <w:rPr>
          <w:rFonts w:ascii="Verdana" w:hAnsi="Verdana"/>
          <w:sz w:val="13"/>
          <w:szCs w:val="13"/>
        </w:rPr>
        <w:t xml:space="preserve">Przedsiębiorstwem jest każdy podmiot prowadzący działalność gospodarczą, niezależnie od jego formy prawnej obejmujący również </w:t>
      </w:r>
      <w:r w:rsidR="00A721DC">
        <w:rPr>
          <w:rFonts w:ascii="Verdana" w:hAnsi="Verdana"/>
          <w:sz w:val="13"/>
          <w:szCs w:val="13"/>
        </w:rPr>
        <w:t>przedsiębiorstwa</w:t>
      </w:r>
      <w:r w:rsidRPr="000A5468">
        <w:rPr>
          <w:rFonts w:ascii="Verdana" w:hAnsi="Verdana"/>
          <w:sz w:val="13"/>
          <w:szCs w:val="13"/>
        </w:rPr>
        <w:t xml:space="preserve"> rodzinne, </w:t>
      </w:r>
      <w:r w:rsidR="00955122">
        <w:rPr>
          <w:rFonts w:ascii="Verdana" w:hAnsi="Verdana"/>
          <w:sz w:val="13"/>
          <w:szCs w:val="13"/>
        </w:rPr>
        <w:t xml:space="preserve">spółki partnerskie i </w:t>
      </w:r>
      <w:r w:rsidR="00955122" w:rsidRPr="00955122">
        <w:rPr>
          <w:rFonts w:ascii="Verdana" w:hAnsi="Verdana"/>
          <w:sz w:val="13"/>
          <w:szCs w:val="13"/>
        </w:rPr>
        <w:t>stowarzyszenia regularnie prowadzące działalność gospodarczą</w:t>
      </w:r>
      <w:r w:rsidRPr="000A5468">
        <w:rPr>
          <w:rFonts w:ascii="Verdana" w:hAnsi="Verdana"/>
          <w:sz w:val="13"/>
          <w:szCs w:val="13"/>
        </w:rPr>
        <w:t xml:space="preserve">. Osoby prowadzące działalność jednoosobową są kwalifikującymi się </w:t>
      </w:r>
      <w:r w:rsidR="00445A6E">
        <w:rPr>
          <w:rFonts w:ascii="Verdana" w:hAnsi="Verdana"/>
          <w:sz w:val="13"/>
          <w:szCs w:val="13"/>
        </w:rPr>
        <w:t>Beneficjentami końcowymi</w:t>
      </w:r>
      <w:r w:rsidRPr="000A5468">
        <w:rPr>
          <w:rFonts w:ascii="Verdana" w:hAnsi="Verdana"/>
          <w:sz w:val="13"/>
          <w:szCs w:val="13"/>
        </w:rPr>
        <w:t>, jeśli są zarejestrowan</w:t>
      </w:r>
      <w:r w:rsidR="00445A6E">
        <w:rPr>
          <w:rFonts w:ascii="Verdana" w:hAnsi="Verdana"/>
          <w:sz w:val="13"/>
          <w:szCs w:val="13"/>
        </w:rPr>
        <w:t>i</w:t>
      </w:r>
      <w:r w:rsidRPr="000A5468">
        <w:rPr>
          <w:rFonts w:ascii="Verdana" w:hAnsi="Verdana"/>
          <w:sz w:val="13"/>
          <w:szCs w:val="13"/>
        </w:rPr>
        <w:t xml:space="preserve"> w rejestrze przedsiębiorstw</w:t>
      </w:r>
      <w:r w:rsidR="00445A6E">
        <w:rPr>
          <w:rFonts w:ascii="Verdana" w:hAnsi="Verdana"/>
          <w:sz w:val="13"/>
          <w:szCs w:val="13"/>
        </w:rPr>
        <w:t xml:space="preserve"> (CEIDG, KRS)</w:t>
      </w:r>
      <w:r w:rsidRPr="000A5468">
        <w:rPr>
          <w:rFonts w:ascii="Verdana" w:hAnsi="Verdana"/>
          <w:sz w:val="13"/>
          <w:szCs w:val="13"/>
        </w:rPr>
        <w:t xml:space="preserve"> i </w:t>
      </w:r>
      <w:r w:rsidR="00445A6E">
        <w:rPr>
          <w:rFonts w:ascii="Verdana" w:hAnsi="Verdana"/>
          <w:sz w:val="13"/>
          <w:szCs w:val="13"/>
        </w:rPr>
        <w:t xml:space="preserve">posiadają </w:t>
      </w:r>
      <w:r w:rsidRPr="000A5468">
        <w:rPr>
          <w:rFonts w:ascii="Verdana" w:hAnsi="Verdana"/>
          <w:sz w:val="13"/>
          <w:szCs w:val="13"/>
        </w:rPr>
        <w:t xml:space="preserve">numer </w:t>
      </w:r>
      <w:r w:rsidR="00445A6E">
        <w:rPr>
          <w:rFonts w:ascii="Verdana" w:hAnsi="Verdana"/>
          <w:sz w:val="13"/>
          <w:szCs w:val="13"/>
        </w:rPr>
        <w:t>NIP</w:t>
      </w:r>
      <w:r w:rsidRPr="000A5468">
        <w:rPr>
          <w:rFonts w:ascii="Verdana" w:hAnsi="Verdana"/>
          <w:sz w:val="13"/>
          <w:szCs w:val="13"/>
        </w:rPr>
        <w:t>.</w:t>
      </w:r>
    </w:p>
    <w:p w14:paraId="5B69D6D7" w14:textId="7906FB0B" w:rsidR="000A5468" w:rsidRPr="00056DD9" w:rsidRDefault="000A5468" w:rsidP="00CB6AE5">
      <w:pPr>
        <w:spacing w:line="240" w:lineRule="auto"/>
        <w:jc w:val="both"/>
        <w:rPr>
          <w:rFonts w:ascii="Verdana" w:hAnsi="Verdana"/>
          <w:sz w:val="13"/>
          <w:szCs w:val="13"/>
        </w:rPr>
      </w:pPr>
      <w:r w:rsidRPr="000A5468">
        <w:rPr>
          <w:rFonts w:ascii="Verdana" w:hAnsi="Verdana"/>
          <w:sz w:val="13"/>
          <w:szCs w:val="13"/>
        </w:rPr>
        <w:t>Aby ustali</w:t>
      </w:r>
      <w:r w:rsidR="00F8340C">
        <w:rPr>
          <w:rFonts w:ascii="Verdana" w:hAnsi="Verdana"/>
          <w:sz w:val="13"/>
          <w:szCs w:val="13"/>
        </w:rPr>
        <w:t>ć status przedsiębiorstwa</w:t>
      </w:r>
      <w:r w:rsidRPr="000A5468">
        <w:rPr>
          <w:rFonts w:ascii="Verdana" w:hAnsi="Verdana"/>
          <w:sz w:val="13"/>
          <w:szCs w:val="13"/>
        </w:rPr>
        <w:t xml:space="preserve">, liczbę jego pracowników oblicza się zgodnie z zaleceniem Komisji Europejskiej 2003/361/WE dotyczącym definicji mikroprzedsiębiorstw oraz małych i średnich przedsiębiorstw („zalecenie </w:t>
      </w:r>
      <w:r w:rsidR="00F75447">
        <w:rPr>
          <w:rFonts w:ascii="Verdana" w:hAnsi="Verdana"/>
          <w:sz w:val="13"/>
          <w:szCs w:val="13"/>
        </w:rPr>
        <w:t>K</w:t>
      </w:r>
      <w:r w:rsidR="00F75447" w:rsidRPr="000A5468">
        <w:rPr>
          <w:rFonts w:ascii="Verdana" w:hAnsi="Verdana"/>
          <w:sz w:val="13"/>
          <w:szCs w:val="13"/>
        </w:rPr>
        <w:t>E</w:t>
      </w:r>
      <w:r w:rsidRPr="000A5468">
        <w:rPr>
          <w:rFonts w:ascii="Verdana" w:hAnsi="Verdana"/>
          <w:sz w:val="13"/>
          <w:szCs w:val="13"/>
        </w:rPr>
        <w:t>”), które weszły w życie od 1 stycznia 2005 r.</w:t>
      </w:r>
      <w:r w:rsidR="00DF084B">
        <w:rPr>
          <w:rFonts w:ascii="Verdana" w:hAnsi="Verdana"/>
          <w:sz w:val="13"/>
          <w:szCs w:val="13"/>
        </w:rPr>
        <w:t xml:space="preserve"> </w:t>
      </w:r>
      <w:r w:rsidR="005207E4">
        <w:rPr>
          <w:rFonts w:ascii="Verdana" w:hAnsi="Verdana"/>
          <w:sz w:val="13"/>
          <w:szCs w:val="13"/>
        </w:rPr>
        <w:t>(d</w:t>
      </w:r>
      <w:r w:rsidR="005207E4" w:rsidRPr="005207E4">
        <w:rPr>
          <w:rFonts w:ascii="Verdana" w:hAnsi="Verdana"/>
          <w:sz w:val="13"/>
          <w:szCs w:val="13"/>
        </w:rPr>
        <w:t xml:space="preserve">efinicje i przykłady </w:t>
      </w:r>
      <w:r w:rsidR="0007320E">
        <w:rPr>
          <w:rFonts w:ascii="Verdana" w:hAnsi="Verdana"/>
          <w:sz w:val="13"/>
          <w:szCs w:val="13"/>
        </w:rPr>
        <w:t>znajdują się w</w:t>
      </w:r>
      <w:r w:rsidR="005207E4">
        <w:rPr>
          <w:rFonts w:ascii="Verdana" w:hAnsi="Verdana"/>
          <w:sz w:val="13"/>
          <w:szCs w:val="13"/>
        </w:rPr>
        <w:t xml:space="preserve"> publikacji KE – Dyrekcji </w:t>
      </w:r>
      <w:r w:rsidR="005207E4" w:rsidRPr="005207E4">
        <w:rPr>
          <w:rFonts w:ascii="Verdana" w:hAnsi="Verdana"/>
          <w:sz w:val="13"/>
          <w:szCs w:val="13"/>
        </w:rPr>
        <w:t>ds. Rynku Wewnętrznego, Przemysłu, Przedsiębiorczo</w:t>
      </w:r>
      <w:r w:rsidR="005207E4">
        <w:rPr>
          <w:rFonts w:ascii="Verdana" w:hAnsi="Verdana"/>
          <w:sz w:val="13"/>
          <w:szCs w:val="13"/>
        </w:rPr>
        <w:t>ści i MŚP „Poradnik użytkownika dotyczącego definicji MŚP”)</w:t>
      </w:r>
      <w:r w:rsidR="005207E4">
        <w:rPr>
          <w:rStyle w:val="Odwoanieprzypisudolnego"/>
          <w:rFonts w:ascii="Verdana" w:hAnsi="Verdana"/>
          <w:sz w:val="13"/>
          <w:szCs w:val="13"/>
        </w:rPr>
        <w:footnoteReference w:id="1"/>
      </w:r>
      <w:r w:rsidR="005207E4">
        <w:rPr>
          <w:rFonts w:ascii="Verdana" w:hAnsi="Verdana"/>
          <w:sz w:val="13"/>
          <w:szCs w:val="13"/>
        </w:rPr>
        <w:t xml:space="preserve">. </w:t>
      </w:r>
      <w:r w:rsidRPr="000A5468">
        <w:rPr>
          <w:rFonts w:ascii="Verdana" w:hAnsi="Verdana"/>
          <w:sz w:val="13"/>
          <w:szCs w:val="13"/>
        </w:rPr>
        <w:t xml:space="preserve">Obliczenia uwzględniają (i) pracowników zatrudnionych na etacie oraz (ii) pracowników powiązanych przedsiębiorstw zgodnie z definicjami </w:t>
      </w:r>
      <w:r w:rsidR="00493337">
        <w:rPr>
          <w:rFonts w:ascii="Verdana" w:hAnsi="Verdana"/>
          <w:sz w:val="13"/>
          <w:szCs w:val="13"/>
        </w:rPr>
        <w:t>K</w:t>
      </w:r>
      <w:r w:rsidRPr="000A5468">
        <w:rPr>
          <w:rFonts w:ascii="Verdana" w:hAnsi="Verdana"/>
          <w:sz w:val="13"/>
          <w:szCs w:val="13"/>
        </w:rPr>
        <w:t xml:space="preserve">E </w:t>
      </w:r>
      <w:r w:rsidR="00493337">
        <w:rPr>
          <w:rFonts w:ascii="Verdana" w:hAnsi="Verdana"/>
          <w:sz w:val="13"/>
          <w:szCs w:val="13"/>
        </w:rPr>
        <w:t>podanymi poniżej</w:t>
      </w:r>
      <w:r w:rsidRPr="000A5468">
        <w:rPr>
          <w:rFonts w:ascii="Verdana" w:hAnsi="Verdana"/>
          <w:sz w:val="13"/>
          <w:szCs w:val="13"/>
        </w:rPr>
        <w:t xml:space="preserve">. Relacje między przedsiębiorstwami </w:t>
      </w:r>
      <w:r w:rsidR="00493337">
        <w:rPr>
          <w:rFonts w:ascii="Verdana" w:hAnsi="Verdana"/>
          <w:sz w:val="13"/>
          <w:szCs w:val="13"/>
        </w:rPr>
        <w:t>realizowane za pośrednictwem osób fizycznych</w:t>
      </w:r>
      <w:r w:rsidRPr="000A5468">
        <w:rPr>
          <w:rFonts w:ascii="Verdana" w:hAnsi="Verdana"/>
          <w:sz w:val="13"/>
          <w:szCs w:val="13"/>
        </w:rPr>
        <w:t xml:space="preserve"> są </w:t>
      </w:r>
      <w:r w:rsidR="00493337">
        <w:rPr>
          <w:rFonts w:ascii="Verdana" w:hAnsi="Verdana"/>
          <w:sz w:val="13"/>
          <w:szCs w:val="13"/>
        </w:rPr>
        <w:t>także</w:t>
      </w:r>
      <w:r w:rsidR="00493337" w:rsidRPr="000A5468">
        <w:rPr>
          <w:rFonts w:ascii="Verdana" w:hAnsi="Verdana"/>
          <w:sz w:val="13"/>
          <w:szCs w:val="13"/>
        </w:rPr>
        <w:t xml:space="preserve"> </w:t>
      </w:r>
      <w:r w:rsidRPr="000A5468">
        <w:rPr>
          <w:rFonts w:ascii="Verdana" w:hAnsi="Verdana"/>
          <w:sz w:val="13"/>
          <w:szCs w:val="13"/>
        </w:rPr>
        <w:t xml:space="preserve">brane pod uwagę, jeśli przedsiębiorstwa są powiązane i działają na tym samym rynku lub na rynkach </w:t>
      </w:r>
      <w:r w:rsidR="00493337">
        <w:rPr>
          <w:rFonts w:ascii="Verdana" w:hAnsi="Verdana"/>
          <w:sz w:val="13"/>
          <w:szCs w:val="13"/>
        </w:rPr>
        <w:t>przyległych</w:t>
      </w:r>
      <w:r w:rsidRPr="000A5468">
        <w:rPr>
          <w:rFonts w:ascii="Verdana" w:hAnsi="Verdana"/>
          <w:sz w:val="13"/>
          <w:szCs w:val="13"/>
        </w:rPr>
        <w:t>.</w:t>
      </w:r>
      <w:r w:rsidR="00F373B6" w:rsidRPr="00F373B6">
        <w:t xml:space="preserve"> </w:t>
      </w:r>
      <w:r w:rsidR="00F373B6" w:rsidRPr="00F373B6">
        <w:rPr>
          <w:rFonts w:ascii="Verdana" w:hAnsi="Verdana"/>
          <w:sz w:val="13"/>
          <w:szCs w:val="13"/>
        </w:rPr>
        <w:t xml:space="preserve">Łączna liczba pracowników w ujęciu skonsolidowanym powinna być mniejsza niż 250 w przypadku MŚP i mniejsza niż 3000 w przypadku </w:t>
      </w:r>
      <w:r w:rsidR="00F373B6">
        <w:rPr>
          <w:rFonts w:ascii="Verdana" w:hAnsi="Verdana"/>
          <w:sz w:val="13"/>
          <w:szCs w:val="13"/>
        </w:rPr>
        <w:t xml:space="preserve">Mid-Cap. </w:t>
      </w:r>
    </w:p>
    <w:tbl>
      <w:tblPr>
        <w:tblStyle w:val="Tabela-Siatka"/>
        <w:tblW w:w="0" w:type="auto"/>
        <w:tblLook w:val="04A0" w:firstRow="1" w:lastRow="0" w:firstColumn="1" w:lastColumn="0" w:noHBand="0" w:noVBand="1"/>
      </w:tblPr>
      <w:tblGrid>
        <w:gridCol w:w="2263"/>
        <w:gridCol w:w="8113"/>
      </w:tblGrid>
      <w:tr w:rsidR="000A5468" w:rsidRPr="000A5468" w14:paraId="29EF6A47" w14:textId="77777777" w:rsidTr="00D94118">
        <w:trPr>
          <w:trHeight w:val="1842"/>
        </w:trPr>
        <w:tc>
          <w:tcPr>
            <w:tcW w:w="2263" w:type="dxa"/>
          </w:tcPr>
          <w:p w14:paraId="0663E5AD" w14:textId="77777777" w:rsidR="000A5468" w:rsidRPr="000A5468" w:rsidRDefault="000A5468" w:rsidP="000A5468">
            <w:pPr>
              <w:spacing w:after="160" w:line="259" w:lineRule="auto"/>
              <w:rPr>
                <w:rFonts w:ascii="Verdana" w:hAnsi="Verdana"/>
                <w:sz w:val="13"/>
                <w:szCs w:val="13"/>
              </w:rPr>
            </w:pPr>
            <w:r w:rsidRPr="000A5468">
              <w:rPr>
                <w:rFonts w:ascii="Verdana" w:hAnsi="Verdana"/>
                <w:sz w:val="13"/>
                <w:szCs w:val="13"/>
              </w:rPr>
              <w:t>Przedsiębiorstwa niezależne</w:t>
            </w:r>
          </w:p>
        </w:tc>
        <w:tc>
          <w:tcPr>
            <w:tcW w:w="8113" w:type="dxa"/>
          </w:tcPr>
          <w:p w14:paraId="06B63550" w14:textId="61BC0705" w:rsidR="00BD35A4" w:rsidRPr="000A5468" w:rsidRDefault="000A5468" w:rsidP="00D94118">
            <w:pPr>
              <w:spacing w:after="160" w:line="259" w:lineRule="auto"/>
              <w:jc w:val="both"/>
              <w:rPr>
                <w:rFonts w:ascii="Verdana" w:hAnsi="Verdana"/>
                <w:sz w:val="13"/>
                <w:szCs w:val="13"/>
              </w:rPr>
            </w:pPr>
            <w:r w:rsidRPr="000A5468">
              <w:rPr>
                <w:rFonts w:ascii="Verdana" w:hAnsi="Verdana"/>
                <w:sz w:val="13"/>
                <w:szCs w:val="13"/>
              </w:rPr>
              <w:t xml:space="preserve">Przedsiębiorstwo można uznać za niezależne, jeśli posiada poniżej 25% kapitału lub </w:t>
            </w:r>
            <w:r w:rsidR="00B23C40">
              <w:rPr>
                <w:rFonts w:ascii="Verdana" w:hAnsi="Verdana"/>
                <w:sz w:val="13"/>
                <w:szCs w:val="13"/>
              </w:rPr>
              <w:t>praw głosu</w:t>
            </w:r>
            <w:r w:rsidR="00B23C40" w:rsidRPr="000A5468">
              <w:rPr>
                <w:rFonts w:ascii="Verdana" w:hAnsi="Verdana"/>
                <w:sz w:val="13"/>
                <w:szCs w:val="13"/>
              </w:rPr>
              <w:t xml:space="preserve"> </w:t>
            </w:r>
            <w:r w:rsidRPr="000A5468">
              <w:rPr>
                <w:rFonts w:ascii="Verdana" w:hAnsi="Verdana"/>
                <w:sz w:val="13"/>
                <w:szCs w:val="13"/>
              </w:rPr>
              <w:t>(w zależności, która z tych wielkości jest wyższa) w jednym lub kilku innych przedsiębiorstwach, a/lub inne przedsiębiorstwa posiadają poniżej 25% kapitału/</w:t>
            </w:r>
            <w:r w:rsidR="00B23C40">
              <w:rPr>
                <w:rFonts w:ascii="Verdana" w:hAnsi="Verdana"/>
                <w:sz w:val="13"/>
                <w:szCs w:val="13"/>
              </w:rPr>
              <w:t>praw głosu</w:t>
            </w:r>
            <w:r w:rsidR="00B23C40" w:rsidRPr="000A5468">
              <w:rPr>
                <w:rFonts w:ascii="Verdana" w:hAnsi="Verdana"/>
                <w:sz w:val="13"/>
                <w:szCs w:val="13"/>
              </w:rPr>
              <w:t xml:space="preserve"> </w:t>
            </w:r>
            <w:r w:rsidRPr="000A5468">
              <w:rPr>
                <w:rFonts w:ascii="Verdana" w:hAnsi="Verdana"/>
                <w:sz w:val="13"/>
                <w:szCs w:val="13"/>
              </w:rPr>
              <w:t>(w zależności, która z tych wielkości jest wyższa) w tym przedsiębiorstwie.</w:t>
            </w:r>
          </w:p>
          <w:p w14:paraId="4705EB13" w14:textId="67C9D2A3" w:rsidR="00BD35A4" w:rsidRDefault="000A5468" w:rsidP="00D94118">
            <w:pPr>
              <w:spacing w:after="160" w:line="259" w:lineRule="auto"/>
              <w:jc w:val="both"/>
              <w:rPr>
                <w:rFonts w:ascii="Verdana" w:hAnsi="Verdana"/>
                <w:sz w:val="13"/>
                <w:szCs w:val="13"/>
              </w:rPr>
            </w:pPr>
            <w:r w:rsidRPr="000563E5">
              <w:rPr>
                <w:rFonts w:ascii="Verdana" w:hAnsi="Verdana"/>
                <w:b/>
                <w:bCs/>
                <w:sz w:val="13"/>
                <w:szCs w:val="13"/>
              </w:rPr>
              <w:t>Wyjątek</w:t>
            </w:r>
            <w:r w:rsidRPr="000A5468">
              <w:rPr>
                <w:rFonts w:ascii="Verdana" w:hAnsi="Verdana"/>
                <w:sz w:val="13"/>
                <w:szCs w:val="13"/>
              </w:rPr>
              <w:t xml:space="preserve">: przedsiębiorstwo uważa się za niezależne, gdy </w:t>
            </w:r>
            <w:r w:rsidR="00DF084B">
              <w:rPr>
                <w:rFonts w:ascii="Verdana" w:hAnsi="Verdana"/>
                <w:sz w:val="13"/>
                <w:szCs w:val="13"/>
              </w:rPr>
              <w:t xml:space="preserve">następujący inwestorzy posiadają </w:t>
            </w:r>
            <w:r w:rsidRPr="000A5468">
              <w:rPr>
                <w:rFonts w:ascii="Verdana" w:hAnsi="Verdana"/>
                <w:sz w:val="13"/>
                <w:szCs w:val="13"/>
              </w:rPr>
              <w:t xml:space="preserve">do 50% kapitału lub </w:t>
            </w:r>
            <w:r w:rsidR="00B23C40">
              <w:rPr>
                <w:rFonts w:ascii="Verdana" w:hAnsi="Verdana"/>
                <w:sz w:val="13"/>
                <w:szCs w:val="13"/>
              </w:rPr>
              <w:t>praw głosu</w:t>
            </w:r>
            <w:r w:rsidR="00B23C40" w:rsidRPr="000A5468">
              <w:rPr>
                <w:rFonts w:ascii="Verdana" w:hAnsi="Verdana"/>
                <w:sz w:val="13"/>
                <w:szCs w:val="13"/>
              </w:rPr>
              <w:t xml:space="preserve"> </w:t>
            </w:r>
            <w:r w:rsidRPr="000A5468">
              <w:rPr>
                <w:rFonts w:ascii="Verdana" w:hAnsi="Verdana"/>
                <w:sz w:val="13"/>
                <w:szCs w:val="13"/>
              </w:rPr>
              <w:t xml:space="preserve">w tym przedsiębiorstwie </w:t>
            </w:r>
            <w:r w:rsidR="00DF084B">
              <w:rPr>
                <w:rFonts w:ascii="Verdana" w:hAnsi="Verdana"/>
                <w:sz w:val="13"/>
                <w:szCs w:val="13"/>
              </w:rPr>
              <w:t>i</w:t>
            </w:r>
            <w:r w:rsidRPr="000A5468">
              <w:rPr>
                <w:rFonts w:ascii="Verdana" w:hAnsi="Verdana"/>
                <w:sz w:val="13"/>
                <w:szCs w:val="13"/>
              </w:rPr>
              <w:t xml:space="preserve"> nie wywierają oni dominującego wpływu: publiczne </w:t>
            </w:r>
            <w:r w:rsidR="00DF084B">
              <w:rPr>
                <w:rFonts w:ascii="Verdana" w:hAnsi="Verdana"/>
                <w:sz w:val="13"/>
                <w:szCs w:val="13"/>
              </w:rPr>
              <w:t>spółki</w:t>
            </w:r>
            <w:r w:rsidR="00DF084B" w:rsidRPr="000A5468">
              <w:rPr>
                <w:rFonts w:ascii="Verdana" w:hAnsi="Verdana"/>
                <w:sz w:val="13"/>
                <w:szCs w:val="13"/>
              </w:rPr>
              <w:t xml:space="preserve"> </w:t>
            </w:r>
            <w:r w:rsidRPr="000A5468">
              <w:rPr>
                <w:rFonts w:ascii="Verdana" w:hAnsi="Verdana"/>
                <w:sz w:val="13"/>
                <w:szCs w:val="13"/>
              </w:rPr>
              <w:t xml:space="preserve">inwestycyjne, </w:t>
            </w:r>
            <w:r w:rsidR="00DF084B" w:rsidRPr="00DF084B">
              <w:rPr>
                <w:rFonts w:ascii="Verdana" w:hAnsi="Verdana"/>
                <w:sz w:val="13"/>
                <w:szCs w:val="13"/>
              </w:rPr>
              <w:t>spółki finansowane kapitałem podwyższo</w:t>
            </w:r>
            <w:r w:rsidR="00DF084B">
              <w:rPr>
                <w:rFonts w:ascii="Verdana" w:hAnsi="Verdana"/>
                <w:sz w:val="13"/>
                <w:szCs w:val="13"/>
              </w:rPr>
              <w:t xml:space="preserve">nego ryzyka (venture capital), </w:t>
            </w:r>
            <w:r w:rsidR="00DF084B" w:rsidRPr="00DF084B">
              <w:rPr>
                <w:rFonts w:ascii="Verdana" w:hAnsi="Verdana"/>
                <w:sz w:val="13"/>
                <w:szCs w:val="13"/>
              </w:rPr>
              <w:t>anioły biznesu</w:t>
            </w:r>
            <w:r w:rsidRPr="000A5468">
              <w:rPr>
                <w:rFonts w:ascii="Verdana" w:hAnsi="Verdana"/>
                <w:sz w:val="13"/>
                <w:szCs w:val="13"/>
              </w:rPr>
              <w:t>, uniwersytety i ośrodki badawcze non-profit, inwestorzy instytucjonalni, w tym fundusze rozwoju</w:t>
            </w:r>
            <w:r w:rsidR="00DF084B">
              <w:rPr>
                <w:rFonts w:ascii="Verdana" w:hAnsi="Verdana"/>
                <w:sz w:val="13"/>
                <w:szCs w:val="13"/>
              </w:rPr>
              <w:t xml:space="preserve"> regionalnego</w:t>
            </w:r>
            <w:r w:rsidRPr="000A5468">
              <w:rPr>
                <w:rFonts w:ascii="Verdana" w:hAnsi="Verdana"/>
                <w:sz w:val="13"/>
                <w:szCs w:val="13"/>
              </w:rPr>
              <w:t xml:space="preserve">, </w:t>
            </w:r>
            <w:r w:rsidR="00DF084B">
              <w:rPr>
                <w:rFonts w:ascii="Verdana" w:hAnsi="Verdana"/>
                <w:sz w:val="13"/>
                <w:szCs w:val="13"/>
              </w:rPr>
              <w:t>niezależne</w:t>
            </w:r>
            <w:r w:rsidR="00DF084B" w:rsidRPr="000A5468">
              <w:rPr>
                <w:rFonts w:ascii="Verdana" w:hAnsi="Verdana"/>
                <w:sz w:val="13"/>
                <w:szCs w:val="13"/>
              </w:rPr>
              <w:t xml:space="preserve"> </w:t>
            </w:r>
            <w:r w:rsidRPr="000A5468">
              <w:rPr>
                <w:rFonts w:ascii="Verdana" w:hAnsi="Verdana"/>
                <w:sz w:val="13"/>
                <w:szCs w:val="13"/>
              </w:rPr>
              <w:t xml:space="preserve">władze lokalne </w:t>
            </w:r>
            <w:r w:rsidR="00DF084B">
              <w:rPr>
                <w:rFonts w:ascii="Verdana" w:hAnsi="Verdana"/>
                <w:sz w:val="13"/>
                <w:szCs w:val="13"/>
              </w:rPr>
              <w:t>z</w:t>
            </w:r>
            <w:r w:rsidR="00DF084B" w:rsidRPr="000A5468">
              <w:rPr>
                <w:rFonts w:ascii="Verdana" w:hAnsi="Verdana"/>
                <w:sz w:val="13"/>
                <w:szCs w:val="13"/>
              </w:rPr>
              <w:t xml:space="preserve"> </w:t>
            </w:r>
            <w:r w:rsidRPr="000A5468">
              <w:rPr>
                <w:rFonts w:ascii="Verdana" w:hAnsi="Verdana"/>
                <w:sz w:val="13"/>
                <w:szCs w:val="13"/>
              </w:rPr>
              <w:t>bud</w:t>
            </w:r>
            <w:r w:rsidR="00DF084B">
              <w:rPr>
                <w:rFonts w:ascii="Verdana" w:hAnsi="Verdana"/>
                <w:sz w:val="13"/>
                <w:szCs w:val="13"/>
              </w:rPr>
              <w:t>żetem</w:t>
            </w:r>
            <w:r w:rsidRPr="000A5468">
              <w:rPr>
                <w:rFonts w:ascii="Verdana" w:hAnsi="Verdana"/>
                <w:sz w:val="13"/>
                <w:szCs w:val="13"/>
              </w:rPr>
              <w:t xml:space="preserve"> rocznym poniżej 10 mln euro i </w:t>
            </w:r>
            <w:r w:rsidR="00F54A5B">
              <w:rPr>
                <w:rFonts w:ascii="Verdana" w:hAnsi="Verdana"/>
                <w:sz w:val="13"/>
                <w:szCs w:val="13"/>
              </w:rPr>
              <w:t xml:space="preserve">zamieszkałe przez mniej niż 5 000 mieszkańców. </w:t>
            </w:r>
          </w:p>
          <w:p w14:paraId="5EE85FFC" w14:textId="15954424" w:rsidR="000A5468" w:rsidRDefault="000A5468" w:rsidP="00D94118">
            <w:pPr>
              <w:spacing w:line="259" w:lineRule="auto"/>
              <w:jc w:val="both"/>
              <w:rPr>
                <w:rFonts w:ascii="Verdana" w:hAnsi="Verdana"/>
                <w:sz w:val="13"/>
                <w:szCs w:val="13"/>
              </w:rPr>
            </w:pPr>
            <w:r w:rsidRPr="000A5468">
              <w:rPr>
                <w:rFonts w:ascii="Verdana" w:hAnsi="Verdana"/>
                <w:sz w:val="13"/>
                <w:szCs w:val="13"/>
              </w:rPr>
              <w:t>W przypadku przedsiębiorstw niezależnych liczba pracowników uwzględnia jedynie pracowników tego przedsiębiorstwa</w:t>
            </w:r>
            <w:r>
              <w:rPr>
                <w:rFonts w:ascii="Verdana" w:hAnsi="Verdana"/>
                <w:sz w:val="13"/>
                <w:szCs w:val="13"/>
              </w:rPr>
              <w:t>.</w:t>
            </w:r>
          </w:p>
          <w:p w14:paraId="1A63C7C3" w14:textId="06E70CC7" w:rsidR="00F373B6" w:rsidRDefault="00F373B6" w:rsidP="00D94118">
            <w:pPr>
              <w:spacing w:line="259" w:lineRule="auto"/>
              <w:jc w:val="both"/>
              <w:rPr>
                <w:rFonts w:ascii="Verdana" w:hAnsi="Verdana"/>
                <w:sz w:val="13"/>
                <w:szCs w:val="13"/>
              </w:rPr>
            </w:pPr>
          </w:p>
          <w:p w14:paraId="60B3BF7D" w14:textId="0EBAFBBD" w:rsidR="00FD6D8F" w:rsidRDefault="00F373B6" w:rsidP="00D94118">
            <w:pPr>
              <w:spacing w:line="259" w:lineRule="auto"/>
              <w:jc w:val="both"/>
              <w:rPr>
                <w:rFonts w:ascii="Verdana" w:hAnsi="Verdana"/>
                <w:sz w:val="13"/>
                <w:szCs w:val="13"/>
              </w:rPr>
            </w:pPr>
            <w:r w:rsidRPr="000563E5">
              <w:rPr>
                <w:rFonts w:ascii="Verdana" w:hAnsi="Verdana"/>
                <w:b/>
                <w:bCs/>
                <w:sz w:val="13"/>
                <w:szCs w:val="13"/>
              </w:rPr>
              <w:t>Uwaga</w:t>
            </w:r>
            <w:r w:rsidRPr="00F373B6">
              <w:rPr>
                <w:rFonts w:ascii="Verdana" w:hAnsi="Verdana"/>
                <w:sz w:val="13"/>
                <w:szCs w:val="13"/>
              </w:rPr>
              <w:t>: Przedsiębiorstwo traci status MŚP/MidCap, jeśli jeden lub więcej organów publicznych posiada co najmniej 25% jego kapitału lub praw głosu, chyba że podlega wspomnianemu wyjątkowi, w którym to przypadku próg wynosi do 50%.</w:t>
            </w:r>
          </w:p>
          <w:p w14:paraId="697E3620" w14:textId="28F137A0" w:rsidR="00F373B6" w:rsidRPr="000A5468" w:rsidRDefault="00F373B6" w:rsidP="00D94118">
            <w:pPr>
              <w:spacing w:line="259" w:lineRule="auto"/>
              <w:jc w:val="both"/>
              <w:rPr>
                <w:rFonts w:ascii="Verdana" w:hAnsi="Verdana"/>
                <w:sz w:val="13"/>
                <w:szCs w:val="13"/>
              </w:rPr>
            </w:pPr>
          </w:p>
        </w:tc>
      </w:tr>
      <w:tr w:rsidR="000A5468" w:rsidRPr="000A5468" w14:paraId="76362FC8" w14:textId="77777777" w:rsidTr="00D94118">
        <w:trPr>
          <w:trHeight w:val="1770"/>
        </w:trPr>
        <w:tc>
          <w:tcPr>
            <w:tcW w:w="2263" w:type="dxa"/>
          </w:tcPr>
          <w:p w14:paraId="60CCFAE9" w14:textId="77777777" w:rsidR="000A5468" w:rsidRPr="000A5468" w:rsidRDefault="000A5468" w:rsidP="000A5468">
            <w:pPr>
              <w:spacing w:after="160" w:line="259" w:lineRule="auto"/>
              <w:rPr>
                <w:rFonts w:ascii="Verdana" w:hAnsi="Verdana"/>
                <w:sz w:val="13"/>
                <w:szCs w:val="13"/>
              </w:rPr>
            </w:pPr>
            <w:r w:rsidRPr="000A5468">
              <w:rPr>
                <w:rFonts w:ascii="Verdana" w:hAnsi="Verdana"/>
                <w:sz w:val="13"/>
                <w:szCs w:val="13"/>
              </w:rPr>
              <w:t>Przedsiębiorstwa partnerskie</w:t>
            </w:r>
          </w:p>
        </w:tc>
        <w:tc>
          <w:tcPr>
            <w:tcW w:w="8113" w:type="dxa"/>
          </w:tcPr>
          <w:p w14:paraId="32C2A3AC" w14:textId="0333608A" w:rsidR="000A5468" w:rsidRPr="000A5468" w:rsidRDefault="000A5468" w:rsidP="00D94118">
            <w:pPr>
              <w:spacing w:after="160" w:line="259" w:lineRule="auto"/>
              <w:jc w:val="both"/>
              <w:rPr>
                <w:rFonts w:ascii="Verdana" w:hAnsi="Verdana"/>
                <w:sz w:val="13"/>
                <w:szCs w:val="13"/>
              </w:rPr>
            </w:pPr>
            <w:r w:rsidRPr="000A5468">
              <w:rPr>
                <w:rFonts w:ascii="Verdana" w:hAnsi="Verdana"/>
                <w:sz w:val="13"/>
                <w:szCs w:val="13"/>
              </w:rPr>
              <w:t xml:space="preserve">Przedsiębiorstwo można uznać za partnerskie, jeśli posiada co najmniej 25%, ale nie więcej niż 50% kapitału lub </w:t>
            </w:r>
            <w:r w:rsidR="00B23C40">
              <w:rPr>
                <w:rFonts w:ascii="Verdana" w:hAnsi="Verdana"/>
                <w:sz w:val="13"/>
                <w:szCs w:val="13"/>
              </w:rPr>
              <w:t>praw głosu</w:t>
            </w:r>
            <w:r w:rsidR="00B23C40" w:rsidRPr="000A5468">
              <w:rPr>
                <w:rFonts w:ascii="Verdana" w:hAnsi="Verdana"/>
                <w:sz w:val="13"/>
                <w:szCs w:val="13"/>
              </w:rPr>
              <w:t xml:space="preserve"> </w:t>
            </w:r>
            <w:r w:rsidRPr="000A5468">
              <w:rPr>
                <w:rFonts w:ascii="Verdana" w:hAnsi="Verdana"/>
                <w:sz w:val="13"/>
                <w:szCs w:val="13"/>
              </w:rPr>
              <w:t>(w zależności, która z tych wielkości jest wyższa) w jednym lub kilk</w:t>
            </w:r>
            <w:r w:rsidR="00D94118">
              <w:rPr>
                <w:rFonts w:ascii="Verdana" w:hAnsi="Verdana"/>
                <w:sz w:val="13"/>
                <w:szCs w:val="13"/>
              </w:rPr>
              <w:t>u innych przedsiębiorstwach, a/</w:t>
            </w:r>
            <w:r w:rsidRPr="000A5468">
              <w:rPr>
                <w:rFonts w:ascii="Verdana" w:hAnsi="Verdana"/>
                <w:sz w:val="13"/>
                <w:szCs w:val="13"/>
              </w:rPr>
              <w:t xml:space="preserve">lub inne przedsiębiorstwo posiada co najmniej 25%, ale nie więcej niż 50% kapitału lub </w:t>
            </w:r>
            <w:r w:rsidR="00B23C40">
              <w:rPr>
                <w:rFonts w:ascii="Verdana" w:hAnsi="Verdana"/>
                <w:sz w:val="13"/>
                <w:szCs w:val="13"/>
              </w:rPr>
              <w:t>praw głosu</w:t>
            </w:r>
            <w:r w:rsidR="00B23C40" w:rsidRPr="000A5468">
              <w:rPr>
                <w:rFonts w:ascii="Verdana" w:hAnsi="Verdana"/>
                <w:sz w:val="13"/>
                <w:szCs w:val="13"/>
              </w:rPr>
              <w:t xml:space="preserve"> </w:t>
            </w:r>
            <w:r w:rsidRPr="000A5468">
              <w:rPr>
                <w:rFonts w:ascii="Verdana" w:hAnsi="Verdana"/>
                <w:sz w:val="13"/>
                <w:szCs w:val="13"/>
              </w:rPr>
              <w:t>w tym przedsiębiorstwie (w zależności, która z tych wielkości jest wyższa).</w:t>
            </w:r>
          </w:p>
          <w:p w14:paraId="700DCDF4" w14:textId="77777777" w:rsidR="000A5468" w:rsidRPr="000A5468" w:rsidRDefault="000A5468" w:rsidP="00D94118">
            <w:pPr>
              <w:spacing w:after="160" w:line="259" w:lineRule="auto"/>
              <w:jc w:val="both"/>
              <w:rPr>
                <w:rFonts w:ascii="Verdana" w:hAnsi="Verdana"/>
                <w:sz w:val="13"/>
                <w:szCs w:val="13"/>
              </w:rPr>
            </w:pPr>
            <w:r w:rsidRPr="000A5468">
              <w:rPr>
                <w:rFonts w:ascii="Verdana" w:hAnsi="Verdana"/>
                <w:sz w:val="13"/>
                <w:szCs w:val="13"/>
              </w:rPr>
              <w:t>W przypadku przedsiębiorstwa partnerskiego do liczby pracowników zatrudnianych przez to przedsiębiorstwo dodaje się odpowiedni procent liczby osób zatrudnionych przez każde z przedsiębiorstw partnerskich, ustalony proporcjonalnie do udziału w kapitale lub w głosach.</w:t>
            </w:r>
          </w:p>
          <w:p w14:paraId="5CA30CFD" w14:textId="7EA2D942" w:rsidR="000A5468" w:rsidRPr="000A5468" w:rsidRDefault="000A5468" w:rsidP="00D94118">
            <w:pPr>
              <w:spacing w:line="259" w:lineRule="auto"/>
              <w:jc w:val="both"/>
              <w:rPr>
                <w:rFonts w:ascii="Verdana" w:hAnsi="Verdana"/>
                <w:sz w:val="13"/>
                <w:szCs w:val="13"/>
              </w:rPr>
            </w:pPr>
            <w:r w:rsidRPr="000A5468">
              <w:rPr>
                <w:rFonts w:ascii="Verdana" w:hAnsi="Verdana"/>
                <w:sz w:val="13"/>
                <w:szCs w:val="13"/>
              </w:rPr>
              <w:t xml:space="preserve">Pod uwagę należy brać wyłącznie dane przedsiębiorstw </w:t>
            </w:r>
            <w:r w:rsidR="00B23C40">
              <w:rPr>
                <w:rFonts w:ascii="Verdana" w:hAnsi="Verdana"/>
                <w:sz w:val="13"/>
                <w:szCs w:val="13"/>
              </w:rPr>
              <w:t>partnerskich</w:t>
            </w:r>
            <w:r w:rsidR="00B23C40" w:rsidRPr="000A5468">
              <w:rPr>
                <w:rFonts w:ascii="Verdana" w:hAnsi="Verdana"/>
                <w:sz w:val="13"/>
                <w:szCs w:val="13"/>
              </w:rPr>
              <w:t xml:space="preserve"> </w:t>
            </w:r>
            <w:r w:rsidRPr="000A5468">
              <w:rPr>
                <w:rFonts w:ascii="Verdana" w:hAnsi="Verdana"/>
                <w:sz w:val="13"/>
                <w:szCs w:val="13"/>
              </w:rPr>
              <w:t xml:space="preserve">usytuowanych </w:t>
            </w:r>
            <w:r w:rsidR="00B23C40">
              <w:rPr>
                <w:rFonts w:ascii="Verdana" w:hAnsi="Verdana"/>
                <w:sz w:val="13"/>
                <w:szCs w:val="13"/>
              </w:rPr>
              <w:t xml:space="preserve">w hierarchii </w:t>
            </w:r>
            <w:r w:rsidRPr="000A5468">
              <w:rPr>
                <w:rFonts w:ascii="Verdana" w:hAnsi="Verdana"/>
                <w:sz w:val="13"/>
                <w:szCs w:val="13"/>
              </w:rPr>
              <w:t>bezpośrednio na</w:t>
            </w:r>
            <w:r w:rsidR="00B23C40">
              <w:rPr>
                <w:rFonts w:ascii="Verdana" w:hAnsi="Verdana"/>
                <w:sz w:val="13"/>
                <w:szCs w:val="13"/>
              </w:rPr>
              <w:t xml:space="preserve">d i pod takim przedsiębiorstwem. </w:t>
            </w:r>
          </w:p>
        </w:tc>
      </w:tr>
      <w:tr w:rsidR="000A5468" w:rsidRPr="000A5468" w14:paraId="4BBE836A" w14:textId="77777777" w:rsidTr="00D94118">
        <w:tc>
          <w:tcPr>
            <w:tcW w:w="2263" w:type="dxa"/>
          </w:tcPr>
          <w:p w14:paraId="17D3FEC0" w14:textId="77777777" w:rsidR="000A5468" w:rsidRPr="000A5468" w:rsidRDefault="000A5468" w:rsidP="000A5468">
            <w:pPr>
              <w:spacing w:after="160" w:line="259" w:lineRule="auto"/>
              <w:rPr>
                <w:rFonts w:ascii="Verdana" w:hAnsi="Verdana"/>
                <w:sz w:val="13"/>
                <w:szCs w:val="13"/>
              </w:rPr>
            </w:pPr>
            <w:r w:rsidRPr="000A5468">
              <w:rPr>
                <w:rFonts w:ascii="Verdana" w:hAnsi="Verdana"/>
                <w:sz w:val="13"/>
                <w:szCs w:val="13"/>
              </w:rPr>
              <w:t>Przedsiębiorstwa powiązane</w:t>
            </w:r>
          </w:p>
        </w:tc>
        <w:tc>
          <w:tcPr>
            <w:tcW w:w="8113" w:type="dxa"/>
          </w:tcPr>
          <w:p w14:paraId="3AE0BF3A" w14:textId="4875B3DC" w:rsidR="000A5468" w:rsidRDefault="000A5468" w:rsidP="00D94118">
            <w:pPr>
              <w:jc w:val="both"/>
              <w:rPr>
                <w:rFonts w:ascii="Verdana" w:hAnsi="Verdana"/>
                <w:sz w:val="13"/>
                <w:szCs w:val="13"/>
              </w:rPr>
            </w:pPr>
            <w:r w:rsidRPr="000A5468">
              <w:rPr>
                <w:rFonts w:ascii="Verdana" w:hAnsi="Verdana"/>
                <w:sz w:val="13"/>
                <w:szCs w:val="13"/>
              </w:rPr>
              <w:t xml:space="preserve">Dwa przedsiębiorstwa uważa się za powiązane, jeśli jedno z nich </w:t>
            </w:r>
            <w:r w:rsidR="0048684F">
              <w:rPr>
                <w:rFonts w:ascii="Verdana" w:hAnsi="Verdana"/>
                <w:sz w:val="13"/>
                <w:szCs w:val="13"/>
              </w:rPr>
              <w:t xml:space="preserve">kontroluje drugie, </w:t>
            </w:r>
            <w:r w:rsidR="0048684F" w:rsidRPr="0048684F">
              <w:rPr>
                <w:rFonts w:ascii="Verdana" w:hAnsi="Verdana"/>
                <w:sz w:val="13"/>
                <w:szCs w:val="13"/>
              </w:rPr>
              <w:t>bezpośrednio lub pośredni</w:t>
            </w:r>
            <w:r w:rsidR="0048684F">
              <w:rPr>
                <w:rFonts w:ascii="Verdana" w:hAnsi="Verdana"/>
                <w:sz w:val="13"/>
                <w:szCs w:val="13"/>
              </w:rPr>
              <w:t>o, poprzez większość w kapitale/</w:t>
            </w:r>
            <w:r w:rsidR="0048684F" w:rsidRPr="0048684F">
              <w:rPr>
                <w:rFonts w:ascii="Verdana" w:hAnsi="Verdana"/>
                <w:sz w:val="13"/>
                <w:szCs w:val="13"/>
              </w:rPr>
              <w:t>prawach głosu lub</w:t>
            </w:r>
            <w:r w:rsidR="0048684F">
              <w:rPr>
                <w:rFonts w:ascii="Verdana" w:hAnsi="Verdana"/>
                <w:sz w:val="13"/>
                <w:szCs w:val="13"/>
              </w:rPr>
              <w:t xml:space="preserve"> poprzez </w:t>
            </w:r>
            <w:r w:rsidR="0048684F" w:rsidRPr="0048684F">
              <w:rPr>
                <w:rFonts w:ascii="Verdana" w:hAnsi="Verdana"/>
                <w:sz w:val="13"/>
                <w:szCs w:val="13"/>
              </w:rPr>
              <w:t>zdolność wywierania dominującego wp</w:t>
            </w:r>
            <w:r w:rsidR="0048684F">
              <w:rPr>
                <w:rFonts w:ascii="Verdana" w:hAnsi="Verdana"/>
                <w:sz w:val="13"/>
                <w:szCs w:val="13"/>
              </w:rPr>
              <w:t xml:space="preserve">ływu za pośrednictwem umowy lub </w:t>
            </w:r>
            <w:r w:rsidR="0048684F" w:rsidRPr="0048684F">
              <w:rPr>
                <w:rFonts w:ascii="Verdana" w:hAnsi="Verdana"/>
                <w:sz w:val="13"/>
                <w:szCs w:val="13"/>
              </w:rPr>
              <w:t>porozumienia.</w:t>
            </w:r>
            <w:r w:rsidR="0048684F">
              <w:rPr>
                <w:rFonts w:ascii="Verdana" w:hAnsi="Verdana"/>
                <w:sz w:val="13"/>
                <w:szCs w:val="13"/>
              </w:rPr>
              <w:t xml:space="preserve"> </w:t>
            </w:r>
            <w:r w:rsidRPr="000A5468">
              <w:rPr>
                <w:rFonts w:ascii="Verdana" w:hAnsi="Verdana"/>
                <w:sz w:val="13"/>
                <w:szCs w:val="13"/>
              </w:rPr>
              <w:t>W większości państw członkowskich UE przedsiębiorstwa powiązane są zobowiązane do sporządzania skonsolidowanych sprawozdań finansowych.</w:t>
            </w:r>
          </w:p>
          <w:p w14:paraId="565BFC4F" w14:textId="77777777" w:rsidR="00F36DE9" w:rsidRPr="000A5468" w:rsidRDefault="00F36DE9" w:rsidP="00D94118">
            <w:pPr>
              <w:jc w:val="both"/>
              <w:rPr>
                <w:rFonts w:ascii="Verdana" w:hAnsi="Verdana"/>
                <w:sz w:val="13"/>
                <w:szCs w:val="13"/>
              </w:rPr>
            </w:pPr>
          </w:p>
          <w:p w14:paraId="5B14E5BE" w14:textId="17E58B1B" w:rsidR="000A5468" w:rsidRPr="000A5468" w:rsidRDefault="000A5468" w:rsidP="00D94118">
            <w:pPr>
              <w:spacing w:line="259" w:lineRule="auto"/>
              <w:jc w:val="both"/>
              <w:rPr>
                <w:rFonts w:ascii="Verdana" w:hAnsi="Verdana"/>
                <w:sz w:val="13"/>
                <w:szCs w:val="13"/>
              </w:rPr>
            </w:pPr>
            <w:r w:rsidRPr="000A5468">
              <w:rPr>
                <w:rFonts w:ascii="Verdana" w:hAnsi="Verdana"/>
                <w:sz w:val="13"/>
                <w:szCs w:val="13"/>
              </w:rPr>
              <w:t xml:space="preserve">W przypadku przedsiębiorstw powiązanych do liczby pracowników przedsiębiorstwa dodaje się łączną liczbę pracowników każdego z powiązanych przedsiębiorstw. Liczbę pracowników należy zsumować dla wszystkich przedsiębiorstw na </w:t>
            </w:r>
            <w:r w:rsidR="0048684F">
              <w:rPr>
                <w:rFonts w:ascii="Verdana" w:hAnsi="Verdana"/>
                <w:sz w:val="13"/>
                <w:szCs w:val="13"/>
              </w:rPr>
              <w:t xml:space="preserve">wszystkich poziomach w całej strukturze </w:t>
            </w:r>
            <w:r w:rsidRPr="000A5468">
              <w:rPr>
                <w:rFonts w:ascii="Verdana" w:hAnsi="Verdana"/>
                <w:sz w:val="13"/>
                <w:szCs w:val="13"/>
              </w:rPr>
              <w:t>w górę i w dół.</w:t>
            </w:r>
          </w:p>
        </w:tc>
      </w:tr>
    </w:tbl>
    <w:p w14:paraId="66C447BB" w14:textId="77777777" w:rsidR="00056DD9" w:rsidRDefault="00056DD9" w:rsidP="00056DD9">
      <w:pPr>
        <w:rPr>
          <w:rFonts w:ascii="Verdana" w:hAnsi="Verdana"/>
          <w:sz w:val="13"/>
          <w:szCs w:val="13"/>
        </w:rPr>
      </w:pPr>
    </w:p>
    <w:p w14:paraId="2C7F1DAE" w14:textId="3658349D" w:rsidR="00F373B6" w:rsidRDefault="00BF3679" w:rsidP="00BF3679">
      <w:pPr>
        <w:jc w:val="both"/>
        <w:rPr>
          <w:rFonts w:ascii="Verdana" w:hAnsi="Verdana"/>
          <w:sz w:val="13"/>
          <w:szCs w:val="13"/>
        </w:rPr>
      </w:pPr>
      <w:r w:rsidRPr="00BF3679">
        <w:rPr>
          <w:rFonts w:ascii="Verdana" w:hAnsi="Verdana"/>
          <w:sz w:val="13"/>
          <w:szCs w:val="13"/>
        </w:rPr>
        <w:t xml:space="preserve">Zgodnie z zaleceniem KE dane dotyczące zatrudnienia pracowników przedsiębiorstwa </w:t>
      </w:r>
      <w:r w:rsidR="00DE133B">
        <w:rPr>
          <w:rFonts w:ascii="Verdana" w:hAnsi="Verdana"/>
          <w:sz w:val="13"/>
          <w:szCs w:val="13"/>
        </w:rPr>
        <w:t>definiowane są, jako</w:t>
      </w:r>
      <w:r w:rsidR="00DE133B" w:rsidRPr="00BF3679">
        <w:rPr>
          <w:rFonts w:ascii="Verdana" w:hAnsi="Verdana"/>
          <w:sz w:val="13"/>
          <w:szCs w:val="13"/>
        </w:rPr>
        <w:t xml:space="preserve"> </w:t>
      </w:r>
      <w:r w:rsidRPr="00BF3679">
        <w:rPr>
          <w:rFonts w:ascii="Verdana" w:hAnsi="Verdana"/>
          <w:sz w:val="13"/>
          <w:szCs w:val="13"/>
        </w:rPr>
        <w:t>dane dotyczące jego ostatniego zatwie</w:t>
      </w:r>
      <w:r w:rsidR="00EF1CD7">
        <w:rPr>
          <w:rFonts w:ascii="Verdana" w:hAnsi="Verdana"/>
          <w:sz w:val="13"/>
          <w:szCs w:val="13"/>
        </w:rPr>
        <w:t>rdzonego okresu obrachunkowego</w:t>
      </w:r>
      <w:r w:rsidR="00F373B6">
        <w:rPr>
          <w:rFonts w:ascii="Verdana" w:hAnsi="Verdana"/>
          <w:sz w:val="13"/>
          <w:szCs w:val="13"/>
        </w:rPr>
        <w:t xml:space="preserve"> i są liczone w stosunku rocznym</w:t>
      </w:r>
      <w:r w:rsidR="00EF1CD7">
        <w:rPr>
          <w:rFonts w:ascii="Verdana" w:hAnsi="Verdana"/>
          <w:sz w:val="13"/>
          <w:szCs w:val="13"/>
        </w:rPr>
        <w:t>.</w:t>
      </w:r>
    </w:p>
    <w:p w14:paraId="7C191083" w14:textId="19128ED6" w:rsidR="00F373B6" w:rsidRPr="00F373B6" w:rsidRDefault="00F373B6" w:rsidP="00F373B6">
      <w:pPr>
        <w:jc w:val="both"/>
        <w:rPr>
          <w:rFonts w:ascii="Verdana" w:hAnsi="Verdana"/>
          <w:sz w:val="13"/>
          <w:szCs w:val="13"/>
        </w:rPr>
      </w:pPr>
      <w:r w:rsidRPr="00F373B6">
        <w:rPr>
          <w:rFonts w:ascii="Verdana" w:hAnsi="Verdana"/>
          <w:sz w:val="13"/>
          <w:szCs w:val="13"/>
        </w:rPr>
        <w:t xml:space="preserve">W odniesieniu do </w:t>
      </w:r>
      <w:r>
        <w:rPr>
          <w:rFonts w:ascii="Verdana" w:hAnsi="Verdana"/>
          <w:sz w:val="13"/>
          <w:szCs w:val="13"/>
        </w:rPr>
        <w:t>przedsiębiorstw</w:t>
      </w:r>
      <w:r w:rsidRPr="00F373B6">
        <w:rPr>
          <w:rFonts w:ascii="Verdana" w:hAnsi="Verdana"/>
          <w:sz w:val="13"/>
          <w:szCs w:val="13"/>
        </w:rPr>
        <w:t>, które zbliżają się do pułapu zatrudnienia, Zalecenie KE zawiera zapis, zgodnie z którym przedsiębiorstwo zyskuje/traci status MŚP/MidCap w przypadku, gdy przez dwa kolejne okresy rozliczeniowe spadnie poniżej/powyżej pułapu zatrudnienia.</w:t>
      </w:r>
    </w:p>
    <w:p w14:paraId="1F4795B4" w14:textId="2E32D379" w:rsidR="005E4D7B" w:rsidRDefault="005E4D7B" w:rsidP="000563E5">
      <w:pPr>
        <w:pStyle w:val="Akapitzlist"/>
        <w:numPr>
          <w:ilvl w:val="0"/>
          <w:numId w:val="22"/>
        </w:numPr>
        <w:jc w:val="both"/>
        <w:rPr>
          <w:rFonts w:ascii="Verdana" w:hAnsi="Verdana"/>
          <w:sz w:val="13"/>
          <w:szCs w:val="13"/>
        </w:rPr>
      </w:pPr>
      <w:r w:rsidRPr="005E4D7B">
        <w:rPr>
          <w:rFonts w:ascii="Verdana" w:hAnsi="Verdana"/>
          <w:sz w:val="13"/>
          <w:szCs w:val="13"/>
        </w:rPr>
        <w:t xml:space="preserve">Lokalizacja </w:t>
      </w:r>
      <w:r w:rsidR="006F0450">
        <w:rPr>
          <w:rFonts w:ascii="Verdana" w:hAnsi="Verdana"/>
          <w:sz w:val="13"/>
          <w:szCs w:val="13"/>
        </w:rPr>
        <w:t>Beneficjentów Końcowych</w:t>
      </w:r>
    </w:p>
    <w:p w14:paraId="1846D4EA" w14:textId="70E7324A" w:rsidR="005E4D7B" w:rsidRDefault="00F82E63" w:rsidP="005E4D7B">
      <w:pPr>
        <w:jc w:val="both"/>
        <w:rPr>
          <w:rFonts w:ascii="Verdana" w:hAnsi="Verdana"/>
          <w:sz w:val="13"/>
          <w:szCs w:val="13"/>
        </w:rPr>
      </w:pPr>
      <w:r>
        <w:rPr>
          <w:rFonts w:ascii="Verdana" w:hAnsi="Verdana"/>
          <w:sz w:val="13"/>
          <w:szCs w:val="13"/>
        </w:rPr>
        <w:t>Beneficjenci Końcowi</w:t>
      </w:r>
      <w:r w:rsidRPr="00056DD9">
        <w:rPr>
          <w:rFonts w:ascii="Verdana" w:hAnsi="Verdana"/>
          <w:sz w:val="13"/>
          <w:szCs w:val="13"/>
        </w:rPr>
        <w:t xml:space="preserve"> </w:t>
      </w:r>
      <w:r w:rsidR="005E4D7B">
        <w:rPr>
          <w:rFonts w:ascii="Verdana" w:hAnsi="Verdana"/>
          <w:sz w:val="13"/>
          <w:szCs w:val="13"/>
        </w:rPr>
        <w:t>powinni być zlokalizowani</w:t>
      </w:r>
      <w:r w:rsidR="005E4D7B" w:rsidRPr="005E4D7B">
        <w:rPr>
          <w:rFonts w:ascii="Verdana" w:hAnsi="Verdana"/>
          <w:sz w:val="13"/>
          <w:szCs w:val="13"/>
        </w:rPr>
        <w:t xml:space="preserve"> w Polsce</w:t>
      </w:r>
      <w:r w:rsidR="005E4D7B">
        <w:rPr>
          <w:rFonts w:ascii="Verdana" w:hAnsi="Verdana"/>
          <w:sz w:val="13"/>
          <w:szCs w:val="13"/>
        </w:rPr>
        <w:t xml:space="preserve">, ponieważ Santander Consumer Multirent Sp. z o.o. udziela finansowania pojazdów dla przedsiębiorstw posiadających siedzibę w Polsce. </w:t>
      </w:r>
    </w:p>
    <w:p w14:paraId="6C642412" w14:textId="77777777" w:rsidR="00602B5D" w:rsidRDefault="0088303C" w:rsidP="000563E5">
      <w:pPr>
        <w:pStyle w:val="Akapitzlist"/>
        <w:numPr>
          <w:ilvl w:val="0"/>
          <w:numId w:val="22"/>
        </w:numPr>
        <w:jc w:val="both"/>
        <w:rPr>
          <w:rFonts w:ascii="Verdana" w:hAnsi="Verdana"/>
          <w:sz w:val="13"/>
          <w:szCs w:val="13"/>
        </w:rPr>
      </w:pPr>
      <w:r w:rsidRPr="0088303C">
        <w:rPr>
          <w:rFonts w:ascii="Verdana" w:hAnsi="Verdana"/>
          <w:sz w:val="13"/>
          <w:szCs w:val="13"/>
        </w:rPr>
        <w:t>Wykluczone sektory</w:t>
      </w:r>
    </w:p>
    <w:p w14:paraId="7704074E" w14:textId="1258CD19" w:rsidR="002B6737" w:rsidRDefault="00204A7A" w:rsidP="00204A7A">
      <w:pPr>
        <w:jc w:val="both"/>
        <w:rPr>
          <w:rFonts w:ascii="Verdana" w:hAnsi="Verdana"/>
          <w:sz w:val="13"/>
          <w:szCs w:val="13"/>
        </w:rPr>
      </w:pPr>
      <w:r>
        <w:rPr>
          <w:rFonts w:ascii="Verdana" w:hAnsi="Verdana"/>
          <w:sz w:val="13"/>
          <w:szCs w:val="13"/>
        </w:rPr>
        <w:t>MŚP</w:t>
      </w:r>
      <w:r w:rsidR="001975AA">
        <w:rPr>
          <w:rFonts w:ascii="Verdana" w:hAnsi="Verdana"/>
          <w:sz w:val="13"/>
          <w:szCs w:val="13"/>
        </w:rPr>
        <w:t>/MidCap</w:t>
      </w:r>
      <w:r>
        <w:rPr>
          <w:rFonts w:ascii="Verdana" w:hAnsi="Verdana"/>
          <w:sz w:val="13"/>
          <w:szCs w:val="13"/>
        </w:rPr>
        <w:t xml:space="preserve"> są wykluczone jako </w:t>
      </w:r>
      <w:r w:rsidR="00F82E63">
        <w:rPr>
          <w:rFonts w:ascii="Verdana" w:hAnsi="Verdana"/>
          <w:sz w:val="13"/>
          <w:szCs w:val="13"/>
        </w:rPr>
        <w:t>Beneficjenci Końcowi</w:t>
      </w:r>
      <w:r>
        <w:rPr>
          <w:rFonts w:ascii="Verdana" w:hAnsi="Verdana"/>
          <w:sz w:val="13"/>
          <w:szCs w:val="13"/>
        </w:rPr>
        <w:t xml:space="preserve">, jeżeli </w:t>
      </w:r>
      <w:r w:rsidR="001975AA">
        <w:rPr>
          <w:rFonts w:ascii="Verdana" w:hAnsi="Verdana"/>
          <w:sz w:val="13"/>
          <w:szCs w:val="13"/>
        </w:rPr>
        <w:t xml:space="preserve">podlegają decyzji </w:t>
      </w:r>
      <w:r>
        <w:rPr>
          <w:rFonts w:ascii="Verdana" w:hAnsi="Verdana"/>
          <w:sz w:val="13"/>
          <w:szCs w:val="13"/>
        </w:rPr>
        <w:t xml:space="preserve">EBI o wykluczeniu, która </w:t>
      </w:r>
      <w:r w:rsidR="001975AA">
        <w:rPr>
          <w:rFonts w:ascii="Verdana" w:hAnsi="Verdana"/>
          <w:sz w:val="13"/>
          <w:szCs w:val="13"/>
        </w:rPr>
        <w:t xml:space="preserve">obowiązuje </w:t>
      </w:r>
      <w:r>
        <w:rPr>
          <w:rFonts w:ascii="Verdana" w:hAnsi="Verdana"/>
          <w:sz w:val="13"/>
          <w:szCs w:val="13"/>
        </w:rPr>
        <w:t>w dniu podpisania dokumentacji prawnej dotyczącej danej transakcji</w:t>
      </w:r>
      <w:r w:rsidR="001975AA">
        <w:rPr>
          <w:rFonts w:ascii="Verdana" w:hAnsi="Verdana"/>
          <w:sz w:val="13"/>
          <w:szCs w:val="13"/>
        </w:rPr>
        <w:t xml:space="preserve"> (tu: umowy leasingu)</w:t>
      </w:r>
      <w:r>
        <w:rPr>
          <w:rFonts w:ascii="Verdana" w:hAnsi="Verdana"/>
          <w:sz w:val="13"/>
          <w:szCs w:val="13"/>
        </w:rPr>
        <w:t xml:space="preserve">. Decyzje EBI o wykluczeniu są podejmowane zgodnie z polityką </w:t>
      </w:r>
      <w:r w:rsidR="003A00D8">
        <w:rPr>
          <w:rFonts w:ascii="Verdana" w:hAnsi="Verdana"/>
          <w:sz w:val="13"/>
          <w:szCs w:val="13"/>
        </w:rPr>
        <w:t>wykluczeń</w:t>
      </w:r>
      <w:r>
        <w:rPr>
          <w:rFonts w:ascii="Verdana" w:hAnsi="Verdana"/>
          <w:sz w:val="13"/>
          <w:szCs w:val="13"/>
        </w:rPr>
        <w:t xml:space="preserve"> EB</w:t>
      </w:r>
      <w:r w:rsidR="002755B6">
        <w:rPr>
          <w:rFonts w:ascii="Verdana" w:hAnsi="Verdana"/>
          <w:sz w:val="13"/>
          <w:szCs w:val="13"/>
        </w:rPr>
        <w:t>I</w:t>
      </w:r>
      <w:r>
        <w:rPr>
          <w:rFonts w:ascii="Verdana" w:hAnsi="Verdana"/>
          <w:sz w:val="13"/>
          <w:szCs w:val="13"/>
        </w:rPr>
        <w:t>, opublikowaną na stronie internetowej EBI</w:t>
      </w:r>
      <w:r w:rsidR="002B6737">
        <w:rPr>
          <w:rFonts w:ascii="Verdana" w:hAnsi="Verdana"/>
          <w:sz w:val="13"/>
          <w:szCs w:val="13"/>
        </w:rPr>
        <w:t xml:space="preserve">:  </w:t>
      </w:r>
      <w:hyperlink r:id="rId8" w:history="1">
        <w:r w:rsidR="002B6737" w:rsidRPr="002B6737">
          <w:rPr>
            <w:rFonts w:ascii="Verdana" w:hAnsi="Verdana"/>
            <w:sz w:val="13"/>
            <w:szCs w:val="13"/>
          </w:rPr>
          <w:t>https://www.eib.org/</w:t>
        </w:r>
      </w:hyperlink>
    </w:p>
    <w:p w14:paraId="58C8A77F" w14:textId="38EA69B5" w:rsidR="0088303C" w:rsidRDefault="001D2448" w:rsidP="0088303C">
      <w:pPr>
        <w:jc w:val="both"/>
        <w:rPr>
          <w:rFonts w:ascii="Verdana" w:hAnsi="Verdana"/>
          <w:sz w:val="13"/>
          <w:szCs w:val="13"/>
        </w:rPr>
      </w:pPr>
      <w:r>
        <w:rPr>
          <w:rFonts w:ascii="Verdana" w:hAnsi="Verdana"/>
          <w:sz w:val="13"/>
          <w:szCs w:val="13"/>
        </w:rPr>
        <w:t>Beneficjenci Końcowi</w:t>
      </w:r>
      <w:r w:rsidR="0088303C" w:rsidRPr="0088303C">
        <w:rPr>
          <w:rFonts w:ascii="Verdana" w:hAnsi="Verdana"/>
          <w:sz w:val="13"/>
          <w:szCs w:val="13"/>
        </w:rPr>
        <w:t xml:space="preserve"> </w:t>
      </w:r>
      <w:r w:rsidRPr="0088303C">
        <w:rPr>
          <w:rFonts w:ascii="Verdana" w:hAnsi="Verdana"/>
          <w:sz w:val="13"/>
          <w:szCs w:val="13"/>
        </w:rPr>
        <w:t>zaangażowan</w:t>
      </w:r>
      <w:r>
        <w:rPr>
          <w:rFonts w:ascii="Verdana" w:hAnsi="Verdana"/>
          <w:sz w:val="13"/>
          <w:szCs w:val="13"/>
        </w:rPr>
        <w:t>i</w:t>
      </w:r>
      <w:r w:rsidRPr="0088303C">
        <w:rPr>
          <w:rFonts w:ascii="Verdana" w:hAnsi="Verdana"/>
          <w:sz w:val="13"/>
          <w:szCs w:val="13"/>
        </w:rPr>
        <w:t xml:space="preserve"> </w:t>
      </w:r>
      <w:r w:rsidR="0088303C" w:rsidRPr="0088303C">
        <w:rPr>
          <w:rFonts w:ascii="Verdana" w:hAnsi="Verdana"/>
          <w:sz w:val="13"/>
          <w:szCs w:val="13"/>
        </w:rPr>
        <w:t xml:space="preserve">w którykolwiek z sektorów </w:t>
      </w:r>
      <w:r>
        <w:rPr>
          <w:rFonts w:ascii="Verdana" w:hAnsi="Verdana"/>
          <w:sz w:val="13"/>
          <w:szCs w:val="13"/>
        </w:rPr>
        <w:t xml:space="preserve">określonych </w:t>
      </w:r>
      <w:r w:rsidR="0088303C" w:rsidRPr="0088303C">
        <w:rPr>
          <w:rFonts w:ascii="Verdana" w:hAnsi="Verdana"/>
          <w:sz w:val="13"/>
          <w:szCs w:val="13"/>
        </w:rPr>
        <w:t>jako działalność niekwalifikowal</w:t>
      </w:r>
      <w:r w:rsidR="0088303C">
        <w:rPr>
          <w:rFonts w:ascii="Verdana" w:hAnsi="Verdana"/>
          <w:sz w:val="13"/>
          <w:szCs w:val="13"/>
        </w:rPr>
        <w:t xml:space="preserve">na </w:t>
      </w:r>
      <w:r w:rsidR="001975AA">
        <w:rPr>
          <w:rFonts w:ascii="Verdana" w:hAnsi="Verdana"/>
          <w:sz w:val="13"/>
          <w:szCs w:val="13"/>
        </w:rPr>
        <w:t xml:space="preserve">znajdującej się </w:t>
      </w:r>
      <w:r>
        <w:rPr>
          <w:rFonts w:ascii="Verdana" w:hAnsi="Verdana"/>
          <w:sz w:val="13"/>
          <w:szCs w:val="13"/>
        </w:rPr>
        <w:t xml:space="preserve">na </w:t>
      </w:r>
      <w:r w:rsidR="0088303C">
        <w:rPr>
          <w:rFonts w:ascii="Verdana" w:hAnsi="Verdana"/>
          <w:sz w:val="13"/>
          <w:szCs w:val="13"/>
        </w:rPr>
        <w:t xml:space="preserve">liście </w:t>
      </w:r>
      <w:r w:rsidR="001975AA">
        <w:rPr>
          <w:rFonts w:ascii="Verdana" w:hAnsi="Verdana"/>
          <w:sz w:val="13"/>
          <w:szCs w:val="13"/>
        </w:rPr>
        <w:t xml:space="preserve">EBI </w:t>
      </w:r>
      <w:r w:rsidR="0088303C">
        <w:rPr>
          <w:rFonts w:ascii="Verdana" w:hAnsi="Verdana"/>
          <w:sz w:val="13"/>
          <w:szCs w:val="13"/>
        </w:rPr>
        <w:t xml:space="preserve">kodów </w:t>
      </w:r>
      <w:r w:rsidR="00AE3FD2" w:rsidRPr="00684F0C">
        <w:rPr>
          <w:rFonts w:ascii="Verdana" w:hAnsi="Verdana"/>
          <w:sz w:val="13"/>
          <w:szCs w:val="13"/>
        </w:rPr>
        <w:t>PKD</w:t>
      </w:r>
      <w:r w:rsidR="001975AA">
        <w:rPr>
          <w:rFonts w:ascii="Verdana" w:hAnsi="Verdana"/>
          <w:sz w:val="13"/>
          <w:szCs w:val="13"/>
        </w:rPr>
        <w:t xml:space="preserve"> (NACE)</w:t>
      </w:r>
      <w:r w:rsidR="00F64135">
        <w:rPr>
          <w:rFonts w:ascii="Verdana" w:hAnsi="Verdana"/>
          <w:sz w:val="13"/>
          <w:szCs w:val="13"/>
        </w:rPr>
        <w:t xml:space="preserve"> </w:t>
      </w:r>
      <w:r>
        <w:rPr>
          <w:rFonts w:ascii="Verdana" w:hAnsi="Verdana"/>
          <w:sz w:val="13"/>
          <w:szCs w:val="13"/>
        </w:rPr>
        <w:t xml:space="preserve"> </w:t>
      </w:r>
      <w:r w:rsidR="00D07AAA">
        <w:rPr>
          <w:rFonts w:ascii="Verdana" w:hAnsi="Verdana"/>
          <w:sz w:val="13"/>
          <w:szCs w:val="13"/>
        </w:rPr>
        <w:t>są wykluczeni z możliwości finansowania EBI.</w:t>
      </w:r>
    </w:p>
    <w:p w14:paraId="1FD42D04" w14:textId="1FD8801F" w:rsidR="001975AA" w:rsidRDefault="0088303C" w:rsidP="003E2BDD">
      <w:pPr>
        <w:jc w:val="both"/>
      </w:pPr>
      <w:r w:rsidRPr="0088303C">
        <w:rPr>
          <w:rFonts w:ascii="Verdana" w:hAnsi="Verdana"/>
          <w:sz w:val="13"/>
          <w:szCs w:val="13"/>
        </w:rPr>
        <w:t xml:space="preserve">W przypadku </w:t>
      </w:r>
      <w:r w:rsidR="00F82E63">
        <w:rPr>
          <w:rFonts w:ascii="Verdana" w:hAnsi="Verdana"/>
          <w:sz w:val="13"/>
          <w:szCs w:val="13"/>
        </w:rPr>
        <w:t xml:space="preserve">Beneficjentów Końcowych </w:t>
      </w:r>
      <w:r w:rsidRPr="0088303C">
        <w:rPr>
          <w:rFonts w:ascii="Verdana" w:hAnsi="Verdana"/>
          <w:sz w:val="13"/>
          <w:szCs w:val="13"/>
        </w:rPr>
        <w:t xml:space="preserve">aktywnych w więcej niż jednym sektorze kwalifikuje ich </w:t>
      </w:r>
      <w:r w:rsidR="00F82E63">
        <w:rPr>
          <w:rFonts w:ascii="Verdana" w:hAnsi="Verdana"/>
          <w:sz w:val="13"/>
          <w:szCs w:val="13"/>
        </w:rPr>
        <w:t>przeważająca</w:t>
      </w:r>
      <w:r w:rsidR="00F82E63" w:rsidRPr="0088303C">
        <w:rPr>
          <w:rFonts w:ascii="Verdana" w:hAnsi="Verdana"/>
          <w:sz w:val="13"/>
          <w:szCs w:val="13"/>
        </w:rPr>
        <w:t xml:space="preserve"> </w:t>
      </w:r>
      <w:r w:rsidRPr="0088303C">
        <w:rPr>
          <w:rFonts w:ascii="Verdana" w:hAnsi="Verdana"/>
          <w:sz w:val="13"/>
          <w:szCs w:val="13"/>
        </w:rPr>
        <w:t xml:space="preserve">działalność. </w:t>
      </w:r>
      <w:r w:rsidR="00F82E63">
        <w:rPr>
          <w:rFonts w:ascii="Verdana" w:hAnsi="Verdana"/>
          <w:sz w:val="13"/>
          <w:szCs w:val="13"/>
        </w:rPr>
        <w:t>Przeważająca</w:t>
      </w:r>
      <w:r w:rsidR="00F82E63" w:rsidRPr="0088303C">
        <w:rPr>
          <w:rFonts w:ascii="Verdana" w:hAnsi="Verdana"/>
          <w:sz w:val="13"/>
          <w:szCs w:val="13"/>
        </w:rPr>
        <w:t xml:space="preserve"> </w:t>
      </w:r>
      <w:r w:rsidRPr="0088303C">
        <w:rPr>
          <w:rFonts w:ascii="Verdana" w:hAnsi="Verdana"/>
          <w:sz w:val="13"/>
          <w:szCs w:val="13"/>
        </w:rPr>
        <w:t xml:space="preserve">działalność odpowiada działalności, która </w:t>
      </w:r>
      <w:r w:rsidR="001975AA">
        <w:rPr>
          <w:rFonts w:ascii="Verdana" w:hAnsi="Verdana"/>
          <w:sz w:val="13"/>
          <w:szCs w:val="13"/>
        </w:rPr>
        <w:t>w największym stopniu</w:t>
      </w:r>
      <w:r w:rsidR="001975AA" w:rsidRPr="0088303C">
        <w:rPr>
          <w:rFonts w:ascii="Verdana" w:hAnsi="Verdana"/>
          <w:sz w:val="13"/>
          <w:szCs w:val="13"/>
        </w:rPr>
        <w:t xml:space="preserve"> </w:t>
      </w:r>
      <w:r w:rsidRPr="0088303C">
        <w:rPr>
          <w:rFonts w:ascii="Verdana" w:hAnsi="Verdana"/>
          <w:sz w:val="13"/>
          <w:szCs w:val="13"/>
        </w:rPr>
        <w:t xml:space="preserve">przyczynia się do całkowitej wartości dodanej brutto – mierzona przychodem przed odsetkami, podatkami i amortyzacją </w:t>
      </w:r>
      <w:r w:rsidR="00993881">
        <w:rPr>
          <w:rFonts w:ascii="Verdana" w:hAnsi="Verdana"/>
          <w:sz w:val="13"/>
          <w:szCs w:val="13"/>
        </w:rPr>
        <w:t>–</w:t>
      </w:r>
      <w:r w:rsidRPr="0088303C">
        <w:rPr>
          <w:rFonts w:ascii="Verdana" w:hAnsi="Verdana"/>
          <w:sz w:val="13"/>
          <w:szCs w:val="13"/>
        </w:rPr>
        <w:t xml:space="preserve"> </w:t>
      </w:r>
      <w:r w:rsidR="00993881">
        <w:rPr>
          <w:rFonts w:ascii="Verdana" w:hAnsi="Verdana"/>
          <w:sz w:val="13"/>
          <w:szCs w:val="13"/>
        </w:rPr>
        <w:t xml:space="preserve">Beneficjenta </w:t>
      </w:r>
      <w:r w:rsidR="00317C09">
        <w:rPr>
          <w:rFonts w:ascii="Verdana" w:hAnsi="Verdana"/>
          <w:sz w:val="13"/>
          <w:szCs w:val="13"/>
        </w:rPr>
        <w:t>Końcowego</w:t>
      </w:r>
      <w:r w:rsidRPr="0088303C">
        <w:rPr>
          <w:rFonts w:ascii="Verdana" w:hAnsi="Verdana"/>
          <w:sz w:val="13"/>
          <w:szCs w:val="13"/>
        </w:rPr>
        <w:t>.</w:t>
      </w:r>
      <w:r w:rsidR="001975AA" w:rsidRPr="001975AA">
        <w:t xml:space="preserve"> </w:t>
      </w:r>
    </w:p>
    <w:p w14:paraId="1D1330D8" w14:textId="3F043444" w:rsidR="001975AA" w:rsidRDefault="001975AA" w:rsidP="001975AA">
      <w:pPr>
        <w:jc w:val="both"/>
      </w:pPr>
      <w:r w:rsidRPr="001975AA">
        <w:rPr>
          <w:rFonts w:ascii="Verdana" w:hAnsi="Verdana"/>
          <w:sz w:val="13"/>
          <w:szCs w:val="13"/>
        </w:rPr>
        <w:lastRenderedPageBreak/>
        <w:t xml:space="preserve">Dla jasności, niezależnie od kodów </w:t>
      </w:r>
      <w:r>
        <w:rPr>
          <w:rFonts w:ascii="Verdana" w:hAnsi="Verdana"/>
          <w:sz w:val="13"/>
          <w:szCs w:val="13"/>
        </w:rPr>
        <w:t>PKD (</w:t>
      </w:r>
      <w:r w:rsidRPr="001975AA">
        <w:rPr>
          <w:rFonts w:ascii="Verdana" w:hAnsi="Verdana"/>
          <w:sz w:val="13"/>
          <w:szCs w:val="13"/>
        </w:rPr>
        <w:t>NACE</w:t>
      </w:r>
      <w:r>
        <w:rPr>
          <w:rFonts w:ascii="Verdana" w:hAnsi="Verdana"/>
          <w:sz w:val="13"/>
          <w:szCs w:val="13"/>
        </w:rPr>
        <w:t>)</w:t>
      </w:r>
      <w:r w:rsidRPr="001975AA">
        <w:rPr>
          <w:rFonts w:ascii="Verdana" w:hAnsi="Verdana"/>
          <w:sz w:val="13"/>
          <w:szCs w:val="13"/>
        </w:rPr>
        <w:t xml:space="preserve"> przedsiębiorstw powiązanych lub partnerskich należących do tej samej grupy przedsiębiorstw, finansowych spółek holdingowych, których wyłączną działalnością gospodarczą jest posiadanie i zarządzanie portfelami udziałów kapitałowych i/lub inwestycji w innych spółkach, nie kwalifikują się do wsparcia EBI.</w:t>
      </w:r>
      <w:r w:rsidRPr="001975AA">
        <w:t xml:space="preserve"> </w:t>
      </w:r>
    </w:p>
    <w:p w14:paraId="1F55E242" w14:textId="77777777" w:rsidR="002755B6" w:rsidRDefault="002755B6" w:rsidP="001975AA">
      <w:pPr>
        <w:jc w:val="both"/>
      </w:pPr>
    </w:p>
    <w:p w14:paraId="4910BC94" w14:textId="77777777" w:rsidR="00A6287E" w:rsidRDefault="00A6287E" w:rsidP="000563E5">
      <w:pPr>
        <w:pStyle w:val="Akapitzlist"/>
        <w:numPr>
          <w:ilvl w:val="0"/>
          <w:numId w:val="22"/>
        </w:numPr>
        <w:jc w:val="both"/>
        <w:rPr>
          <w:rFonts w:ascii="Verdana" w:hAnsi="Verdana"/>
          <w:sz w:val="13"/>
          <w:szCs w:val="13"/>
        </w:rPr>
      </w:pPr>
      <w:r>
        <w:rPr>
          <w:rFonts w:ascii="Verdana" w:hAnsi="Verdana"/>
          <w:sz w:val="13"/>
          <w:szCs w:val="13"/>
        </w:rPr>
        <w:t>Wykluczone działalności</w:t>
      </w:r>
    </w:p>
    <w:p w14:paraId="221F6690" w14:textId="5AFF0CA7" w:rsidR="00A6287E" w:rsidRPr="008A518B" w:rsidRDefault="00A6287E" w:rsidP="00A6287E">
      <w:pPr>
        <w:jc w:val="both"/>
        <w:rPr>
          <w:rFonts w:ascii="Verdana" w:hAnsi="Verdana"/>
          <w:sz w:val="13"/>
          <w:szCs w:val="13"/>
        </w:rPr>
      </w:pPr>
      <w:r w:rsidRPr="008A518B">
        <w:rPr>
          <w:rFonts w:ascii="Verdana" w:hAnsi="Verdana"/>
          <w:sz w:val="13"/>
          <w:szCs w:val="13"/>
        </w:rPr>
        <w:t xml:space="preserve">Niezależnie od kwalifikowalności </w:t>
      </w:r>
      <w:r w:rsidRPr="00684F0C">
        <w:rPr>
          <w:rFonts w:ascii="Verdana" w:hAnsi="Verdana"/>
          <w:sz w:val="13"/>
          <w:szCs w:val="13"/>
        </w:rPr>
        <w:t xml:space="preserve">kodu </w:t>
      </w:r>
      <w:r w:rsidR="0002219E" w:rsidRPr="00684F0C">
        <w:rPr>
          <w:rFonts w:ascii="Verdana" w:hAnsi="Verdana"/>
          <w:sz w:val="13"/>
          <w:szCs w:val="13"/>
        </w:rPr>
        <w:t>PKD</w:t>
      </w:r>
      <w:r w:rsidR="001975AA">
        <w:rPr>
          <w:rFonts w:ascii="Verdana" w:hAnsi="Verdana"/>
          <w:sz w:val="13"/>
          <w:szCs w:val="13"/>
        </w:rPr>
        <w:t xml:space="preserve"> (NACE)</w:t>
      </w:r>
      <w:r w:rsidR="0002219E" w:rsidRPr="00684F0C">
        <w:rPr>
          <w:rFonts w:ascii="Verdana" w:hAnsi="Verdana"/>
          <w:sz w:val="13"/>
          <w:szCs w:val="13"/>
        </w:rPr>
        <w:t xml:space="preserve"> </w:t>
      </w:r>
      <w:r w:rsidRPr="00684F0C">
        <w:rPr>
          <w:rFonts w:ascii="Verdana" w:hAnsi="Verdana"/>
          <w:sz w:val="13"/>
          <w:szCs w:val="13"/>
        </w:rPr>
        <w:t>dotyczącego</w:t>
      </w:r>
      <w:r w:rsidRPr="008A518B">
        <w:rPr>
          <w:rFonts w:ascii="Verdana" w:hAnsi="Verdana"/>
          <w:sz w:val="13"/>
          <w:szCs w:val="13"/>
        </w:rPr>
        <w:t xml:space="preserve"> </w:t>
      </w:r>
      <w:r w:rsidR="00F82E63">
        <w:rPr>
          <w:rFonts w:ascii="Verdana" w:hAnsi="Verdana"/>
          <w:sz w:val="13"/>
          <w:szCs w:val="13"/>
        </w:rPr>
        <w:t>przeważającej</w:t>
      </w:r>
      <w:r w:rsidR="00F82E63" w:rsidRPr="008A518B">
        <w:rPr>
          <w:rFonts w:ascii="Verdana" w:hAnsi="Verdana"/>
          <w:sz w:val="13"/>
          <w:szCs w:val="13"/>
        </w:rPr>
        <w:t xml:space="preserve"> </w:t>
      </w:r>
      <w:r w:rsidRPr="008A518B">
        <w:rPr>
          <w:rFonts w:ascii="Verdana" w:hAnsi="Verdana"/>
          <w:sz w:val="13"/>
          <w:szCs w:val="13"/>
        </w:rPr>
        <w:t xml:space="preserve">działalności, każdy </w:t>
      </w:r>
      <w:r w:rsidR="003A6EA7">
        <w:rPr>
          <w:rFonts w:ascii="Verdana" w:hAnsi="Verdana"/>
          <w:sz w:val="13"/>
          <w:szCs w:val="13"/>
        </w:rPr>
        <w:t>Beneficjent Końcowy</w:t>
      </w:r>
      <w:r w:rsidRPr="008A518B">
        <w:rPr>
          <w:rFonts w:ascii="Verdana" w:hAnsi="Verdana"/>
          <w:sz w:val="13"/>
          <w:szCs w:val="13"/>
        </w:rPr>
        <w:t xml:space="preserve"> zaangażowany w jakiekolwiek z poniższych działań nie kwalifikuje się do wsparcia przez EBI:</w:t>
      </w:r>
    </w:p>
    <w:p w14:paraId="29AE7243" w14:textId="394A6A96" w:rsidR="00A6287E" w:rsidRPr="008A518B" w:rsidRDefault="00A6287E" w:rsidP="00A6287E">
      <w:pPr>
        <w:pStyle w:val="Akapitzlist"/>
        <w:numPr>
          <w:ilvl w:val="0"/>
          <w:numId w:val="11"/>
        </w:numPr>
        <w:jc w:val="both"/>
        <w:rPr>
          <w:rFonts w:ascii="Verdana" w:hAnsi="Verdana"/>
          <w:sz w:val="13"/>
          <w:szCs w:val="13"/>
        </w:rPr>
      </w:pPr>
      <w:r w:rsidRPr="008A518B">
        <w:rPr>
          <w:rFonts w:ascii="Verdana" w:hAnsi="Verdana"/>
          <w:sz w:val="13"/>
          <w:szCs w:val="13"/>
        </w:rPr>
        <w:t>działalność polegająca na produkcji broni i amunicji</w:t>
      </w:r>
      <w:r w:rsidRPr="008A518B">
        <w:rPr>
          <w:rStyle w:val="Odwoanieprzypisudolnego"/>
          <w:rFonts w:ascii="Verdana" w:hAnsi="Verdana"/>
          <w:sz w:val="13"/>
          <w:szCs w:val="13"/>
        </w:rPr>
        <w:footnoteReference w:id="2"/>
      </w:r>
      <w:r w:rsidRPr="008A518B">
        <w:rPr>
          <w:rFonts w:ascii="Verdana" w:hAnsi="Verdana"/>
          <w:sz w:val="13"/>
          <w:szCs w:val="13"/>
        </w:rPr>
        <w:t xml:space="preserve">, uzbrojenia, wyposażenia lub infrastruktury wojskowej lub policyjnej oraz wyposażenia lub infrastruktury, które mogą ograniczać indywidualne prawa i swobody ludzi (tzn. </w:t>
      </w:r>
      <w:r w:rsidR="008D0D87">
        <w:rPr>
          <w:rFonts w:ascii="Verdana" w:hAnsi="Verdana"/>
          <w:sz w:val="13"/>
          <w:szCs w:val="13"/>
        </w:rPr>
        <w:t>zakładów karnych</w:t>
      </w:r>
      <w:r w:rsidRPr="008A518B">
        <w:rPr>
          <w:rFonts w:ascii="Verdana" w:hAnsi="Verdana"/>
          <w:sz w:val="13"/>
          <w:szCs w:val="13"/>
        </w:rPr>
        <w:t xml:space="preserve">, </w:t>
      </w:r>
      <w:r w:rsidR="008D0D87">
        <w:rPr>
          <w:rFonts w:ascii="Verdana" w:hAnsi="Verdana"/>
          <w:sz w:val="13"/>
          <w:szCs w:val="13"/>
        </w:rPr>
        <w:t xml:space="preserve">aresztów śledczych w jakiejkolwiek </w:t>
      </w:r>
      <w:r w:rsidRPr="008A518B">
        <w:rPr>
          <w:rFonts w:ascii="Verdana" w:hAnsi="Verdana"/>
          <w:sz w:val="13"/>
          <w:szCs w:val="13"/>
        </w:rPr>
        <w:t>formie) lub naruszać prawa człowieka;</w:t>
      </w:r>
    </w:p>
    <w:p w14:paraId="246246EA" w14:textId="0DC4FC8B" w:rsidR="00A6287E" w:rsidRPr="008A518B" w:rsidRDefault="00A6287E" w:rsidP="00A6287E">
      <w:pPr>
        <w:pStyle w:val="Akapitzlist"/>
        <w:numPr>
          <w:ilvl w:val="0"/>
          <w:numId w:val="11"/>
        </w:numPr>
        <w:jc w:val="both"/>
        <w:rPr>
          <w:rFonts w:ascii="Verdana" w:hAnsi="Verdana"/>
          <w:sz w:val="13"/>
          <w:szCs w:val="13"/>
        </w:rPr>
      </w:pPr>
      <w:r w:rsidRPr="008A518B">
        <w:rPr>
          <w:rFonts w:ascii="Verdana" w:hAnsi="Verdana"/>
          <w:sz w:val="13"/>
          <w:szCs w:val="13"/>
        </w:rPr>
        <w:t xml:space="preserve">działalność wpływająca na środowisko naturalne, której negatywnych skutków nie da się w istotny sposób ograniczyć i/lub zrekompensować (w tym </w:t>
      </w:r>
      <w:r w:rsidR="00993881">
        <w:rPr>
          <w:rFonts w:ascii="Verdana" w:hAnsi="Verdana"/>
          <w:sz w:val="13"/>
          <w:szCs w:val="13"/>
        </w:rPr>
        <w:t>m.in.</w:t>
      </w:r>
      <w:r w:rsidRPr="008A518B">
        <w:rPr>
          <w:rFonts w:ascii="Verdana" w:hAnsi="Verdana"/>
          <w:sz w:val="13"/>
          <w:szCs w:val="13"/>
        </w:rPr>
        <w:t xml:space="preserve"> projekty na obszarach chronionych, siedliskach krytycznych i miejscach dziedzictwa kulturowego);</w:t>
      </w:r>
    </w:p>
    <w:p w14:paraId="694738ED" w14:textId="3627B749" w:rsidR="00A6287E" w:rsidRPr="008A518B" w:rsidRDefault="00A6287E" w:rsidP="00A6287E">
      <w:pPr>
        <w:pStyle w:val="Akapitzlist"/>
        <w:numPr>
          <w:ilvl w:val="0"/>
          <w:numId w:val="11"/>
        </w:numPr>
        <w:jc w:val="both"/>
        <w:rPr>
          <w:rFonts w:ascii="Verdana" w:hAnsi="Verdana"/>
          <w:sz w:val="13"/>
          <w:szCs w:val="13"/>
        </w:rPr>
      </w:pPr>
      <w:r w:rsidRPr="008A518B">
        <w:rPr>
          <w:rFonts w:ascii="Verdana" w:hAnsi="Verdana"/>
          <w:sz w:val="13"/>
          <w:szCs w:val="13"/>
        </w:rPr>
        <w:t xml:space="preserve">działalność etycznie lub moralnie kontrowersyjna albo zabroniona prawem krajowym, np. </w:t>
      </w:r>
      <w:r w:rsidR="008D0D87" w:rsidRPr="008D0D87">
        <w:rPr>
          <w:rFonts w:ascii="Verdana" w:hAnsi="Verdana"/>
          <w:sz w:val="13"/>
          <w:szCs w:val="13"/>
        </w:rPr>
        <w:t>handel usługami seksualnymi</w:t>
      </w:r>
      <w:r w:rsidR="008D0D87">
        <w:rPr>
          <w:rFonts w:ascii="Verdana" w:hAnsi="Verdana"/>
          <w:sz w:val="13"/>
          <w:szCs w:val="13"/>
        </w:rPr>
        <w:t xml:space="preserve"> i powiązana z tym infrastruktura,</w:t>
      </w:r>
      <w:r w:rsidR="008D0D87" w:rsidRPr="008D0D87">
        <w:rPr>
          <w:rFonts w:ascii="Verdana" w:hAnsi="Verdana"/>
          <w:sz w:val="13"/>
          <w:szCs w:val="13"/>
        </w:rPr>
        <w:t xml:space="preserve"> </w:t>
      </w:r>
      <w:r w:rsidR="008D0D87" w:rsidRPr="008A518B">
        <w:rPr>
          <w:rFonts w:ascii="Verdana" w:hAnsi="Verdana"/>
          <w:sz w:val="13"/>
          <w:szCs w:val="13"/>
        </w:rPr>
        <w:t>usługi oraz media</w:t>
      </w:r>
      <w:r w:rsidR="008D0D87">
        <w:rPr>
          <w:rFonts w:ascii="Verdana" w:hAnsi="Verdana"/>
          <w:sz w:val="13"/>
          <w:szCs w:val="13"/>
        </w:rPr>
        <w:t xml:space="preserve">; </w:t>
      </w:r>
      <w:r w:rsidRPr="008A518B">
        <w:rPr>
          <w:rFonts w:ascii="Verdana" w:hAnsi="Verdana"/>
          <w:sz w:val="13"/>
          <w:szCs w:val="13"/>
        </w:rPr>
        <w:t>badania nad klonowaniem</w:t>
      </w:r>
      <w:r w:rsidR="008D0D87">
        <w:rPr>
          <w:rFonts w:ascii="Verdana" w:hAnsi="Verdana"/>
          <w:sz w:val="13"/>
          <w:szCs w:val="13"/>
        </w:rPr>
        <w:t xml:space="preserve"> ludzi;</w:t>
      </w:r>
      <w:r w:rsidRPr="008A518B">
        <w:rPr>
          <w:rFonts w:ascii="Verdana" w:hAnsi="Verdana"/>
          <w:sz w:val="13"/>
          <w:szCs w:val="13"/>
        </w:rPr>
        <w:t xml:space="preserve"> testy na zwierzętach</w:t>
      </w:r>
      <w:r w:rsidRPr="008A518B">
        <w:rPr>
          <w:rStyle w:val="Odwoanieprzypisudolnego"/>
          <w:rFonts w:ascii="Verdana" w:hAnsi="Verdana"/>
          <w:sz w:val="13"/>
          <w:szCs w:val="13"/>
        </w:rPr>
        <w:footnoteReference w:id="3"/>
      </w:r>
      <w:r w:rsidR="008D0D87">
        <w:rPr>
          <w:rFonts w:ascii="Verdana" w:hAnsi="Verdana"/>
          <w:sz w:val="13"/>
          <w:szCs w:val="13"/>
        </w:rPr>
        <w:t>;</w:t>
      </w:r>
      <w:r w:rsidRPr="008A518B">
        <w:rPr>
          <w:rFonts w:ascii="Verdana" w:hAnsi="Verdana"/>
          <w:sz w:val="13"/>
          <w:szCs w:val="13"/>
        </w:rPr>
        <w:t xml:space="preserve"> handel ludźmi i związana z tym infrastruktura, usługi oraz media;</w:t>
      </w:r>
    </w:p>
    <w:p w14:paraId="6C5FC598" w14:textId="5D718907" w:rsidR="00A6287E" w:rsidRPr="008A518B" w:rsidRDefault="00A6287E" w:rsidP="00A6287E">
      <w:pPr>
        <w:pStyle w:val="Akapitzlist"/>
        <w:numPr>
          <w:ilvl w:val="0"/>
          <w:numId w:val="11"/>
        </w:numPr>
        <w:jc w:val="both"/>
        <w:rPr>
          <w:rFonts w:ascii="Verdana" w:hAnsi="Verdana"/>
          <w:sz w:val="13"/>
          <w:szCs w:val="13"/>
        </w:rPr>
      </w:pPr>
      <w:r w:rsidRPr="008A518B">
        <w:rPr>
          <w:rFonts w:ascii="Verdana" w:hAnsi="Verdana"/>
          <w:sz w:val="13"/>
          <w:szCs w:val="13"/>
        </w:rPr>
        <w:t>działania zabronione przez ustawodawstwo krajowe (tylko tam, gdzie takie ustawodawstwo istnieje). Przykłady: organizmy zmodyfikowane genetycznie (GMO), kliniki aborcyjne, energia jądrowa</w:t>
      </w:r>
      <w:r w:rsidR="008D0D87">
        <w:rPr>
          <w:rFonts w:ascii="Verdana" w:hAnsi="Verdana"/>
          <w:sz w:val="13"/>
          <w:szCs w:val="13"/>
        </w:rPr>
        <w:t xml:space="preserve"> itp.</w:t>
      </w:r>
      <w:r w:rsidRPr="008A518B">
        <w:rPr>
          <w:rFonts w:ascii="Verdana" w:hAnsi="Verdana"/>
          <w:sz w:val="13"/>
          <w:szCs w:val="13"/>
        </w:rPr>
        <w:t>;</w:t>
      </w:r>
    </w:p>
    <w:p w14:paraId="312C4ED5" w14:textId="5BAB9118" w:rsidR="00A6287E" w:rsidRPr="0025671A" w:rsidRDefault="003A6EA7" w:rsidP="003E2BDD">
      <w:pPr>
        <w:jc w:val="both"/>
        <w:rPr>
          <w:rFonts w:ascii="Verdana" w:hAnsi="Verdana"/>
          <w:sz w:val="13"/>
          <w:szCs w:val="13"/>
        </w:rPr>
      </w:pPr>
      <w:r w:rsidRPr="0025671A">
        <w:rPr>
          <w:rFonts w:ascii="Verdana" w:hAnsi="Verdana"/>
          <w:sz w:val="13"/>
          <w:szCs w:val="13"/>
        </w:rPr>
        <w:t xml:space="preserve">Niezależnie od kwalifikowalności </w:t>
      </w:r>
      <w:r w:rsidRPr="00684F0C">
        <w:rPr>
          <w:rFonts w:ascii="Verdana" w:hAnsi="Verdana"/>
          <w:sz w:val="13"/>
          <w:szCs w:val="13"/>
        </w:rPr>
        <w:t xml:space="preserve">kodu </w:t>
      </w:r>
      <w:r w:rsidR="0002219E" w:rsidRPr="00684F0C">
        <w:rPr>
          <w:rFonts w:ascii="Verdana" w:hAnsi="Verdana"/>
          <w:sz w:val="13"/>
          <w:szCs w:val="13"/>
        </w:rPr>
        <w:t>PKD</w:t>
      </w:r>
      <w:r w:rsidR="00F64135" w:rsidRPr="00684F0C">
        <w:rPr>
          <w:rFonts w:ascii="Verdana" w:hAnsi="Verdana"/>
          <w:sz w:val="13"/>
          <w:szCs w:val="13"/>
        </w:rPr>
        <w:t xml:space="preserve"> </w:t>
      </w:r>
      <w:r w:rsidR="008D0D87">
        <w:rPr>
          <w:rFonts w:ascii="Verdana" w:hAnsi="Verdana"/>
          <w:sz w:val="13"/>
          <w:szCs w:val="13"/>
        </w:rPr>
        <w:t>(</w:t>
      </w:r>
      <w:r w:rsidR="00F64135" w:rsidRPr="00684F0C">
        <w:rPr>
          <w:rFonts w:ascii="Verdana" w:hAnsi="Verdana"/>
          <w:sz w:val="13"/>
          <w:szCs w:val="13"/>
        </w:rPr>
        <w:t>NACE</w:t>
      </w:r>
      <w:r w:rsidR="008D0D87">
        <w:rPr>
          <w:rFonts w:ascii="Verdana" w:hAnsi="Verdana"/>
          <w:sz w:val="13"/>
          <w:szCs w:val="13"/>
        </w:rPr>
        <w:t>)</w:t>
      </w:r>
      <w:r w:rsidR="0002219E" w:rsidRPr="00684F0C">
        <w:rPr>
          <w:rFonts w:ascii="Verdana" w:hAnsi="Verdana"/>
          <w:sz w:val="13"/>
          <w:szCs w:val="13"/>
        </w:rPr>
        <w:t xml:space="preserve"> </w:t>
      </w:r>
      <w:r w:rsidRPr="00684F0C">
        <w:rPr>
          <w:rFonts w:ascii="Verdana" w:hAnsi="Verdana"/>
          <w:sz w:val="13"/>
          <w:szCs w:val="13"/>
        </w:rPr>
        <w:t>dotyczącego</w:t>
      </w:r>
      <w:r w:rsidRPr="0025671A">
        <w:rPr>
          <w:rFonts w:ascii="Verdana" w:hAnsi="Verdana"/>
          <w:sz w:val="13"/>
          <w:szCs w:val="13"/>
        </w:rPr>
        <w:t xml:space="preserve"> </w:t>
      </w:r>
      <w:r w:rsidR="00F82E63">
        <w:rPr>
          <w:rFonts w:ascii="Verdana" w:hAnsi="Verdana"/>
          <w:sz w:val="13"/>
          <w:szCs w:val="13"/>
        </w:rPr>
        <w:t>p</w:t>
      </w:r>
      <w:r w:rsidR="008D0D87">
        <w:rPr>
          <w:rFonts w:ascii="Verdana" w:hAnsi="Verdana"/>
          <w:sz w:val="13"/>
          <w:szCs w:val="13"/>
        </w:rPr>
        <w:t>rzeważającej</w:t>
      </w:r>
      <w:r w:rsidR="00F82E63" w:rsidRPr="0025671A">
        <w:rPr>
          <w:rFonts w:ascii="Verdana" w:hAnsi="Verdana"/>
          <w:sz w:val="13"/>
          <w:szCs w:val="13"/>
        </w:rPr>
        <w:t xml:space="preserve"> </w:t>
      </w:r>
      <w:r w:rsidRPr="0025671A">
        <w:rPr>
          <w:rFonts w:ascii="Verdana" w:hAnsi="Verdana"/>
          <w:sz w:val="13"/>
          <w:szCs w:val="13"/>
        </w:rPr>
        <w:t xml:space="preserve">działalności, każdy Beneficjent Końcowy, </w:t>
      </w:r>
      <w:r w:rsidR="00A6287E" w:rsidRPr="0025671A">
        <w:rPr>
          <w:rFonts w:ascii="Verdana" w:hAnsi="Verdana"/>
          <w:sz w:val="13"/>
          <w:szCs w:val="13"/>
        </w:rPr>
        <w:t xml:space="preserve">dla którego ponad 10% jego rocznych </w:t>
      </w:r>
      <w:r w:rsidR="008D0D87">
        <w:rPr>
          <w:rFonts w:ascii="Verdana" w:hAnsi="Verdana"/>
          <w:sz w:val="13"/>
          <w:szCs w:val="13"/>
        </w:rPr>
        <w:t>przychodów</w:t>
      </w:r>
      <w:r w:rsidR="008D0D87" w:rsidRPr="0025671A">
        <w:rPr>
          <w:rFonts w:ascii="Verdana" w:hAnsi="Verdana"/>
          <w:sz w:val="13"/>
          <w:szCs w:val="13"/>
        </w:rPr>
        <w:t xml:space="preserve"> </w:t>
      </w:r>
      <w:r w:rsidR="00A6287E" w:rsidRPr="0025671A">
        <w:rPr>
          <w:rFonts w:ascii="Verdana" w:hAnsi="Verdana"/>
          <w:sz w:val="13"/>
          <w:szCs w:val="13"/>
        </w:rPr>
        <w:t>generowan</w:t>
      </w:r>
      <w:r w:rsidR="008D0D87">
        <w:rPr>
          <w:rFonts w:ascii="Verdana" w:hAnsi="Verdana"/>
          <w:sz w:val="13"/>
          <w:szCs w:val="13"/>
        </w:rPr>
        <w:t>ych</w:t>
      </w:r>
      <w:r w:rsidR="00A6287E" w:rsidRPr="0025671A">
        <w:rPr>
          <w:rFonts w:ascii="Verdana" w:hAnsi="Verdana"/>
          <w:sz w:val="13"/>
          <w:szCs w:val="13"/>
        </w:rPr>
        <w:t xml:space="preserve"> jest przez następujące działania, nie kwalifikuje się do wsparcia EBI:</w:t>
      </w:r>
    </w:p>
    <w:p w14:paraId="0BD9098A" w14:textId="6672D326" w:rsidR="00A6287E" w:rsidRPr="0025671A" w:rsidRDefault="00A6287E" w:rsidP="00A6287E">
      <w:pPr>
        <w:pStyle w:val="Akapitzlist"/>
        <w:numPr>
          <w:ilvl w:val="0"/>
          <w:numId w:val="11"/>
        </w:numPr>
        <w:jc w:val="both"/>
        <w:rPr>
          <w:rFonts w:ascii="Verdana" w:hAnsi="Verdana"/>
          <w:sz w:val="13"/>
          <w:szCs w:val="13"/>
        </w:rPr>
      </w:pPr>
      <w:r w:rsidRPr="0025671A">
        <w:rPr>
          <w:rFonts w:ascii="Verdana" w:hAnsi="Verdana"/>
          <w:sz w:val="13"/>
          <w:szCs w:val="13"/>
        </w:rPr>
        <w:t>działalność polegająca na produkcji sprzętu do gier hazardowych i podobnego wyposażenia, a także udostępnianiu takiego sprzętu i wyposażenia</w:t>
      </w:r>
      <w:r w:rsidR="003A6EA7" w:rsidRPr="0025671A">
        <w:rPr>
          <w:rFonts w:ascii="Verdana" w:hAnsi="Verdana"/>
          <w:sz w:val="13"/>
          <w:szCs w:val="13"/>
        </w:rPr>
        <w:t>;</w:t>
      </w:r>
    </w:p>
    <w:p w14:paraId="204FA38A" w14:textId="5E1B5050" w:rsidR="008A518B" w:rsidRPr="0025671A" w:rsidRDefault="00A6287E" w:rsidP="008A518B">
      <w:pPr>
        <w:pStyle w:val="Akapitzlist"/>
        <w:numPr>
          <w:ilvl w:val="0"/>
          <w:numId w:val="11"/>
        </w:numPr>
        <w:jc w:val="both"/>
        <w:rPr>
          <w:rFonts w:ascii="Verdana" w:hAnsi="Verdana"/>
          <w:sz w:val="13"/>
          <w:szCs w:val="13"/>
        </w:rPr>
      </w:pPr>
      <w:r w:rsidRPr="0025671A">
        <w:rPr>
          <w:rFonts w:ascii="Verdana" w:hAnsi="Verdana"/>
          <w:sz w:val="13"/>
          <w:szCs w:val="13"/>
        </w:rPr>
        <w:t>działalność polegająca na produkcji wyrobów tytoniowych, obróbce tytoniu lub specjalistycznej dystrybucji wyrobów tytoniowych, a także na umożliwianiu używania wyrobów tytoniowych (np. palarnie)</w:t>
      </w:r>
      <w:r w:rsidR="003A6EA7" w:rsidRPr="0025671A">
        <w:rPr>
          <w:rFonts w:ascii="Verdana" w:hAnsi="Verdana"/>
          <w:sz w:val="13"/>
          <w:szCs w:val="13"/>
        </w:rPr>
        <w:t>;</w:t>
      </w:r>
    </w:p>
    <w:p w14:paraId="2A41A5A6" w14:textId="77777777" w:rsidR="008A518B" w:rsidRPr="0025671A" w:rsidRDefault="008A518B" w:rsidP="008A518B">
      <w:pPr>
        <w:pStyle w:val="Akapitzlist"/>
        <w:jc w:val="both"/>
        <w:rPr>
          <w:rFonts w:ascii="Verdana" w:hAnsi="Verdana"/>
          <w:sz w:val="13"/>
          <w:szCs w:val="13"/>
        </w:rPr>
      </w:pPr>
    </w:p>
    <w:p w14:paraId="5FAEF800" w14:textId="5FEA2FAB" w:rsidR="008D0D87" w:rsidRDefault="008D0D87">
      <w:pPr>
        <w:pStyle w:val="Akapitzlist"/>
        <w:numPr>
          <w:ilvl w:val="0"/>
          <w:numId w:val="22"/>
        </w:numPr>
        <w:jc w:val="both"/>
        <w:rPr>
          <w:rFonts w:ascii="Verdana" w:hAnsi="Verdana"/>
          <w:sz w:val="13"/>
          <w:szCs w:val="13"/>
        </w:rPr>
      </w:pPr>
      <w:r>
        <w:rPr>
          <w:rFonts w:ascii="Verdana" w:hAnsi="Verdana"/>
          <w:sz w:val="13"/>
          <w:szCs w:val="13"/>
        </w:rPr>
        <w:t xml:space="preserve">Zielone </w:t>
      </w:r>
      <w:r w:rsidR="00E72591">
        <w:rPr>
          <w:rFonts w:ascii="Verdana" w:hAnsi="Verdana"/>
          <w:sz w:val="13"/>
          <w:szCs w:val="13"/>
        </w:rPr>
        <w:t>według EBI</w:t>
      </w:r>
    </w:p>
    <w:p w14:paraId="28A5A3CE" w14:textId="4E339C80" w:rsidR="008D0D87" w:rsidRPr="008D0D87" w:rsidRDefault="008D0D87" w:rsidP="008D0D87">
      <w:pPr>
        <w:jc w:val="both"/>
        <w:rPr>
          <w:rFonts w:ascii="Verdana" w:hAnsi="Verdana"/>
          <w:sz w:val="13"/>
          <w:szCs w:val="13"/>
        </w:rPr>
      </w:pPr>
      <w:r w:rsidRPr="008D0D87">
        <w:rPr>
          <w:rFonts w:ascii="Verdana" w:hAnsi="Verdana"/>
          <w:sz w:val="13"/>
          <w:szCs w:val="13"/>
        </w:rPr>
        <w:t xml:space="preserve">Oprócz kryteriów określonych powyżej, </w:t>
      </w:r>
      <w:r>
        <w:rPr>
          <w:rFonts w:ascii="Verdana" w:hAnsi="Verdana"/>
          <w:sz w:val="13"/>
          <w:szCs w:val="13"/>
        </w:rPr>
        <w:t>finansowaniem ze wsparciem EBI objęte są</w:t>
      </w:r>
      <w:r w:rsidR="00344EC3">
        <w:rPr>
          <w:rFonts w:ascii="Verdana" w:hAnsi="Verdana"/>
          <w:sz w:val="13"/>
          <w:szCs w:val="13"/>
        </w:rPr>
        <w:t xml:space="preserve"> projekty </w:t>
      </w:r>
      <w:r w:rsidRPr="008D0D87">
        <w:rPr>
          <w:rFonts w:ascii="Verdana" w:hAnsi="Verdana"/>
          <w:sz w:val="13"/>
          <w:szCs w:val="13"/>
        </w:rPr>
        <w:t>wspierając</w:t>
      </w:r>
      <w:r w:rsidR="00344EC3">
        <w:rPr>
          <w:rFonts w:ascii="Verdana" w:hAnsi="Verdana"/>
          <w:sz w:val="13"/>
          <w:szCs w:val="13"/>
        </w:rPr>
        <w:t>e</w:t>
      </w:r>
      <w:r w:rsidRPr="008D0D87">
        <w:rPr>
          <w:rFonts w:ascii="Verdana" w:hAnsi="Verdana"/>
          <w:sz w:val="13"/>
          <w:szCs w:val="13"/>
        </w:rPr>
        <w:t xml:space="preserve"> </w:t>
      </w:r>
      <w:r w:rsidR="00344EC3">
        <w:rPr>
          <w:rFonts w:ascii="Verdana" w:hAnsi="Verdana"/>
          <w:sz w:val="13"/>
          <w:szCs w:val="13"/>
        </w:rPr>
        <w:t>„</w:t>
      </w:r>
      <w:r w:rsidRPr="008D0D87">
        <w:rPr>
          <w:rFonts w:ascii="Verdana" w:hAnsi="Verdana"/>
          <w:sz w:val="13"/>
          <w:szCs w:val="13"/>
        </w:rPr>
        <w:t>Zielone</w:t>
      </w:r>
      <w:r w:rsidR="00344EC3">
        <w:rPr>
          <w:rFonts w:ascii="Verdana" w:hAnsi="Verdana"/>
          <w:sz w:val="13"/>
          <w:szCs w:val="13"/>
        </w:rPr>
        <w:t>”</w:t>
      </w:r>
      <w:r w:rsidRPr="008D0D87">
        <w:rPr>
          <w:rFonts w:ascii="Verdana" w:hAnsi="Verdana"/>
          <w:sz w:val="13"/>
          <w:szCs w:val="13"/>
        </w:rPr>
        <w:t xml:space="preserve"> inwestycje i wydatki</w:t>
      </w:r>
      <w:r w:rsidR="00E72591">
        <w:rPr>
          <w:rStyle w:val="Odwoanieprzypisudolnego"/>
          <w:rFonts w:ascii="Verdana" w:hAnsi="Verdana"/>
          <w:sz w:val="13"/>
          <w:szCs w:val="13"/>
        </w:rPr>
        <w:footnoteReference w:id="4"/>
      </w:r>
      <w:r w:rsidRPr="008D0D87">
        <w:rPr>
          <w:rFonts w:ascii="Verdana" w:hAnsi="Verdana"/>
          <w:sz w:val="13"/>
          <w:szCs w:val="13"/>
        </w:rPr>
        <w:t>.</w:t>
      </w:r>
    </w:p>
    <w:p w14:paraId="337C93D8" w14:textId="260DE4EE" w:rsidR="00BA354F" w:rsidRPr="0025671A" w:rsidRDefault="008D0D87" w:rsidP="000563E5">
      <w:pPr>
        <w:jc w:val="both"/>
        <w:rPr>
          <w:rFonts w:ascii="Verdana" w:hAnsi="Verdana"/>
          <w:sz w:val="13"/>
          <w:szCs w:val="13"/>
        </w:rPr>
      </w:pPr>
      <w:r w:rsidRPr="008D0D87">
        <w:rPr>
          <w:rFonts w:ascii="Verdana" w:hAnsi="Verdana"/>
          <w:sz w:val="13"/>
          <w:szCs w:val="13"/>
        </w:rPr>
        <w:t xml:space="preserve">Aby projekt kwalifikował się do </w:t>
      </w:r>
      <w:r w:rsidR="00344EC3">
        <w:rPr>
          <w:rFonts w:ascii="Verdana" w:hAnsi="Verdana"/>
          <w:sz w:val="13"/>
          <w:szCs w:val="13"/>
        </w:rPr>
        <w:t>Zielonych Celów</w:t>
      </w:r>
      <w:r w:rsidRPr="008D0D87">
        <w:rPr>
          <w:rFonts w:ascii="Verdana" w:hAnsi="Verdana"/>
          <w:sz w:val="13"/>
          <w:szCs w:val="13"/>
        </w:rPr>
        <w:t xml:space="preserve">, </w:t>
      </w:r>
      <w:r w:rsidR="00344EC3">
        <w:rPr>
          <w:rFonts w:ascii="Verdana" w:hAnsi="Verdana"/>
          <w:sz w:val="13"/>
          <w:szCs w:val="13"/>
        </w:rPr>
        <w:t>Beneficjent końcowy</w:t>
      </w:r>
      <w:r w:rsidRPr="008D0D87">
        <w:rPr>
          <w:rFonts w:ascii="Verdana" w:hAnsi="Verdana"/>
          <w:sz w:val="13"/>
          <w:szCs w:val="13"/>
        </w:rPr>
        <w:t xml:space="preserve"> musi potwierdzić, że spełnia określone kryteria i warunki oraz przedstawić określone wskaźniki raportowania (jeśli mają zastosowanie i/lub są zgodne z wymogami EBI), jak określono </w:t>
      </w:r>
      <w:r w:rsidR="00344EC3">
        <w:rPr>
          <w:rFonts w:ascii="Verdana" w:hAnsi="Verdana"/>
          <w:sz w:val="13"/>
          <w:szCs w:val="13"/>
        </w:rPr>
        <w:t xml:space="preserve">w tabeli w pkt </w:t>
      </w:r>
      <w:r w:rsidR="007818EE">
        <w:rPr>
          <w:rFonts w:ascii="Verdana" w:hAnsi="Verdana"/>
          <w:sz w:val="13"/>
          <w:szCs w:val="13"/>
        </w:rPr>
        <w:t xml:space="preserve">9 </w:t>
      </w:r>
      <w:r w:rsidR="008A518B" w:rsidRPr="0025671A">
        <w:rPr>
          <w:rFonts w:ascii="Verdana" w:hAnsi="Verdana"/>
          <w:sz w:val="13"/>
          <w:szCs w:val="13"/>
        </w:rPr>
        <w:t>Kryteria K</w:t>
      </w:r>
      <w:r w:rsidR="00993881" w:rsidRPr="0025671A">
        <w:rPr>
          <w:rFonts w:ascii="Verdana" w:hAnsi="Verdana"/>
          <w:sz w:val="13"/>
          <w:szCs w:val="13"/>
        </w:rPr>
        <w:t>walifikowalności dla projektu</w:t>
      </w:r>
      <w:r w:rsidR="00037E59">
        <w:rPr>
          <w:rFonts w:ascii="Verdana" w:hAnsi="Verdana"/>
          <w:sz w:val="13"/>
          <w:szCs w:val="13"/>
        </w:rPr>
        <w:t>,</w:t>
      </w:r>
      <w:r w:rsidR="00993881" w:rsidRPr="0025671A">
        <w:rPr>
          <w:rFonts w:ascii="Verdana" w:hAnsi="Verdana"/>
          <w:sz w:val="13"/>
          <w:szCs w:val="13"/>
        </w:rPr>
        <w:t xml:space="preserve"> </w:t>
      </w:r>
      <w:r w:rsidR="003B3A8B">
        <w:rPr>
          <w:rFonts w:ascii="Verdana" w:hAnsi="Verdana"/>
          <w:sz w:val="13"/>
          <w:szCs w:val="13"/>
        </w:rPr>
        <w:t>jakim jest</w:t>
      </w:r>
      <w:r w:rsidR="00D04D7C">
        <w:rPr>
          <w:rFonts w:ascii="Verdana" w:hAnsi="Verdana"/>
          <w:sz w:val="13"/>
          <w:szCs w:val="13"/>
        </w:rPr>
        <w:t xml:space="preserve"> </w:t>
      </w:r>
      <w:r w:rsidR="008A518B" w:rsidRPr="0025671A">
        <w:rPr>
          <w:rFonts w:ascii="Verdana" w:hAnsi="Verdana"/>
          <w:sz w:val="13"/>
          <w:szCs w:val="13"/>
        </w:rPr>
        <w:t>finansowani</w:t>
      </w:r>
      <w:r w:rsidR="003B3A8B">
        <w:rPr>
          <w:rFonts w:ascii="Verdana" w:hAnsi="Verdana"/>
          <w:sz w:val="13"/>
          <w:szCs w:val="13"/>
        </w:rPr>
        <w:t>e</w:t>
      </w:r>
      <w:r w:rsidR="008A518B" w:rsidRPr="0025671A">
        <w:rPr>
          <w:rFonts w:ascii="Verdana" w:hAnsi="Verdana"/>
          <w:sz w:val="13"/>
          <w:szCs w:val="13"/>
        </w:rPr>
        <w:t xml:space="preserve"> pojazdu</w:t>
      </w:r>
      <w:r w:rsidR="007818EE">
        <w:rPr>
          <w:rFonts w:ascii="Verdana" w:hAnsi="Verdana"/>
          <w:sz w:val="13"/>
          <w:szCs w:val="13"/>
        </w:rPr>
        <w:t>.</w:t>
      </w:r>
    </w:p>
    <w:p w14:paraId="361E1825" w14:textId="738F79ED" w:rsidR="00BF7532" w:rsidRPr="0007311C" w:rsidRDefault="00BF7532" w:rsidP="00CD0D2F">
      <w:pPr>
        <w:jc w:val="both"/>
        <w:rPr>
          <w:rFonts w:ascii="Verdana" w:hAnsi="Verdana"/>
          <w:sz w:val="13"/>
          <w:szCs w:val="13"/>
        </w:rPr>
      </w:pPr>
      <w:r w:rsidRPr="0007311C">
        <w:rPr>
          <w:rFonts w:ascii="Verdana" w:hAnsi="Verdana"/>
          <w:sz w:val="13"/>
          <w:szCs w:val="13"/>
        </w:rPr>
        <w:t xml:space="preserve">Projekty nie powinny odnosić się do wykluczonych sektorów określonych w </w:t>
      </w:r>
      <w:r w:rsidR="00F82E63">
        <w:rPr>
          <w:rFonts w:ascii="Verdana" w:hAnsi="Verdana"/>
          <w:sz w:val="13"/>
          <w:szCs w:val="13"/>
        </w:rPr>
        <w:t>pkt</w:t>
      </w:r>
      <w:r w:rsidR="00F82E63" w:rsidRPr="0007311C">
        <w:rPr>
          <w:rFonts w:ascii="Verdana" w:hAnsi="Verdana"/>
          <w:sz w:val="13"/>
          <w:szCs w:val="13"/>
        </w:rPr>
        <w:t xml:space="preserve"> </w:t>
      </w:r>
      <w:r w:rsidRPr="0007311C">
        <w:rPr>
          <w:rFonts w:ascii="Verdana" w:hAnsi="Verdana"/>
          <w:sz w:val="13"/>
          <w:szCs w:val="13"/>
        </w:rPr>
        <w:t>3</w:t>
      </w:r>
      <w:r w:rsidR="00F82E63">
        <w:rPr>
          <w:rFonts w:ascii="Verdana" w:hAnsi="Verdana"/>
          <w:sz w:val="13"/>
          <w:szCs w:val="13"/>
        </w:rPr>
        <w:t xml:space="preserve"> (powyżej)</w:t>
      </w:r>
      <w:r w:rsidRPr="0007311C">
        <w:rPr>
          <w:rFonts w:ascii="Verdana" w:hAnsi="Verdana"/>
          <w:sz w:val="13"/>
          <w:szCs w:val="13"/>
        </w:rPr>
        <w:t xml:space="preserve"> ani wyłączonych działań określonych w </w:t>
      </w:r>
      <w:r w:rsidR="00F82E63">
        <w:rPr>
          <w:rFonts w:ascii="Verdana" w:hAnsi="Verdana"/>
          <w:sz w:val="13"/>
          <w:szCs w:val="13"/>
        </w:rPr>
        <w:t>pkt</w:t>
      </w:r>
      <w:r w:rsidR="00F82E63" w:rsidRPr="0007311C">
        <w:rPr>
          <w:rFonts w:ascii="Verdana" w:hAnsi="Verdana"/>
          <w:sz w:val="13"/>
          <w:szCs w:val="13"/>
        </w:rPr>
        <w:t xml:space="preserve"> </w:t>
      </w:r>
      <w:r w:rsidRPr="0007311C">
        <w:rPr>
          <w:rFonts w:ascii="Verdana" w:hAnsi="Verdana"/>
          <w:sz w:val="13"/>
          <w:szCs w:val="13"/>
        </w:rPr>
        <w:t xml:space="preserve">4 (w tym działań związanych z hazardem (pkt 4. ppkt. e) i tytoniem (pkt 4. ppkt </w:t>
      </w:r>
      <w:r w:rsidR="00222B8E" w:rsidRPr="0007311C">
        <w:rPr>
          <w:rFonts w:ascii="Verdana" w:hAnsi="Verdana"/>
          <w:sz w:val="13"/>
          <w:szCs w:val="13"/>
        </w:rPr>
        <w:t>f)</w:t>
      </w:r>
      <w:r w:rsidRPr="0007311C">
        <w:rPr>
          <w:rFonts w:ascii="Verdana" w:hAnsi="Verdana"/>
          <w:sz w:val="13"/>
          <w:szCs w:val="13"/>
        </w:rPr>
        <w:t xml:space="preserve">. Ponadto projekty nie </w:t>
      </w:r>
      <w:r w:rsidR="008F59EE">
        <w:rPr>
          <w:rFonts w:ascii="Verdana" w:hAnsi="Verdana"/>
          <w:sz w:val="13"/>
          <w:szCs w:val="13"/>
        </w:rPr>
        <w:t>mogą</w:t>
      </w:r>
      <w:r w:rsidR="008F59EE" w:rsidRPr="0007311C">
        <w:rPr>
          <w:rFonts w:ascii="Verdana" w:hAnsi="Verdana"/>
          <w:sz w:val="13"/>
          <w:szCs w:val="13"/>
        </w:rPr>
        <w:t xml:space="preserve"> </w:t>
      </w:r>
      <w:r w:rsidRPr="0007311C">
        <w:rPr>
          <w:rFonts w:ascii="Verdana" w:hAnsi="Verdana"/>
          <w:sz w:val="13"/>
          <w:szCs w:val="13"/>
        </w:rPr>
        <w:t>być powiązane z:</w:t>
      </w:r>
    </w:p>
    <w:p w14:paraId="4D0906BE" w14:textId="3B7E2046" w:rsidR="008118DE" w:rsidRDefault="008118DE" w:rsidP="00222B8E">
      <w:pPr>
        <w:jc w:val="both"/>
        <w:rPr>
          <w:rFonts w:ascii="Verdana" w:hAnsi="Verdana"/>
          <w:sz w:val="13"/>
          <w:szCs w:val="13"/>
        </w:rPr>
      </w:pPr>
    </w:p>
    <w:p w14:paraId="1A01A8E7" w14:textId="77777777"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zakupem (lub budową lub remontem) nieruchomości w celu sprzedaży lub wynajmu budynku osobom trzecim;</w:t>
      </w:r>
    </w:p>
    <w:p w14:paraId="4CB9726B" w14:textId="77777777"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świadczeniem usług finansowania konsumenckiego;</w:t>
      </w:r>
    </w:p>
    <w:p w14:paraId="01675E2C" w14:textId="77777777"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czysto finansowymi transakcjami, które dotyczą wszelkich wydatków, które nie prowadzą do dodatkowych nakładów inwestycyjnych lub działalności operacyjnej przedsiębiorstwa (takich jak obrót akcjami publicznymi, innymi papierami wartościowymi lub jakimkolwiek innym produktem finansowym, refinansowanie pożyczek przedsiębiorstwa), w tym zmiany własności (np. fuzje i przejęcia); z wyjątkiem zmiany pokoleniowej (tj. przejścia poprzedniego właściciela na emeryturę) lub przeniesienia przedsiębiorstwa związanego z personelem, które mogą być kwalifikowalne, jeżeli: (i) pozwalają na kontynuację działalności gospodarczej danego przedsiębiorstwa, (ii) zarówno kupujący, jak i podmiot, który ma zostać sprzedany, są uprawnionymi Beneficjentami Końcowymi oraz (iii) łączne finansowanie potrzebne do nabycia przedsiębiorstwa nie przekracza 5 mln EUR (bez środków własnych);</w:t>
      </w:r>
    </w:p>
    <w:p w14:paraId="759475A7" w14:textId="77777777"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przedsięwzięciami o treści politycznej lub religijnej;</w:t>
      </w:r>
    </w:p>
    <w:p w14:paraId="5B72864C" w14:textId="77777777"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projektami sektora opieki zdrowotnej z „bezpiecznymi jednostkami” lub jednostkami medycyny sądowej (kryminalistycznymi), zamkniętymi oddziałami psychiatrycznymi i/lub zakładami poprawczymi;</w:t>
      </w:r>
    </w:p>
    <w:p w14:paraId="5396F5F0" w14:textId="77777777"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projektami sektora ochrony zdrowia, które nie są zgodne ze wspólnymi wartościami i podstawowymi zasadami polityki zdrowotnej UE (zrównoważone rozwiązania dla społeczeństwa oparte na dowodach naukowych i równości dostępu);</w:t>
      </w:r>
    </w:p>
    <w:p w14:paraId="6165DA58" w14:textId="15B4BABE"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 xml:space="preserve">działalnością związaną z odsalaniem wody; </w:t>
      </w:r>
    </w:p>
    <w:p w14:paraId="1B7639DD" w14:textId="442FFE9B"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 xml:space="preserve">elektrowniami wodnymi; </w:t>
      </w:r>
    </w:p>
    <w:p w14:paraId="2196893C" w14:textId="7D933244"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 xml:space="preserve">produkcją energii elektrycznej z energii jądrowej; </w:t>
      </w:r>
    </w:p>
    <w:p w14:paraId="271B943F" w14:textId="13E47553"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 xml:space="preserve">składowiskami odpadów i spalaniem odpadów; </w:t>
      </w:r>
    </w:p>
    <w:p w14:paraId="6812F95E" w14:textId="16ECAA7D"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 xml:space="preserve">rurociągami transportującymi etylen i inne chemikalia; </w:t>
      </w:r>
    </w:p>
    <w:p w14:paraId="3AF58C1A" w14:textId="2797C42C"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 xml:space="preserve">działalnością geotermalną z przeznaczeniem innym niż do celów grzewczych, lub w której źródło ciepła znajduje się na głębokości większej niż 300 metrów, lub gdy Projekt jest obarczony ryzykiem sejsmicznym/geologicznym; </w:t>
      </w:r>
    </w:p>
    <w:p w14:paraId="790C8C12" w14:textId="2FB70DFA"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 xml:space="preserve">infrastrukturą transportu lotniczego (taką jak lotniska i instalacje lotniskowe); </w:t>
      </w:r>
    </w:p>
    <w:p w14:paraId="6D45649A" w14:textId="765F6930" w:rsidR="008118DE" w:rsidRPr="002B6737" w:rsidRDefault="008118DE" w:rsidP="002B6737">
      <w:pPr>
        <w:pStyle w:val="Akapitzlist"/>
        <w:numPr>
          <w:ilvl w:val="0"/>
          <w:numId w:val="23"/>
        </w:numPr>
        <w:jc w:val="both"/>
        <w:rPr>
          <w:rFonts w:ascii="Verdana" w:hAnsi="Verdana"/>
          <w:sz w:val="13"/>
          <w:szCs w:val="13"/>
        </w:rPr>
      </w:pPr>
      <w:r w:rsidRPr="002B6737">
        <w:rPr>
          <w:rFonts w:ascii="Verdana" w:hAnsi="Verdana"/>
          <w:sz w:val="13"/>
          <w:szCs w:val="13"/>
        </w:rPr>
        <w:t>produkcją statków powietrznych napędzanych paliwami konwencjonalnymi i powiązanych maszyn oraz nabyciem statków powietrznych napędzanych paliwami konwencj</w:t>
      </w:r>
      <w:r w:rsidR="009C1855" w:rsidRPr="002B6737">
        <w:rPr>
          <w:rFonts w:ascii="Verdana" w:hAnsi="Verdana"/>
          <w:sz w:val="13"/>
          <w:szCs w:val="13"/>
        </w:rPr>
        <w:t>onalnymi,</w:t>
      </w:r>
      <w:r w:rsidR="009C1855" w:rsidRPr="009C1855">
        <w:rPr>
          <w:rFonts w:ascii="Google Sans" w:hAnsi="Google Sans"/>
          <w:color w:val="000000"/>
        </w:rPr>
        <w:t xml:space="preserve"> </w:t>
      </w:r>
      <w:r w:rsidR="009C1855" w:rsidRPr="002B6737">
        <w:rPr>
          <w:rFonts w:ascii="Verdana" w:hAnsi="Verdana"/>
          <w:sz w:val="13"/>
          <w:szCs w:val="13"/>
        </w:rPr>
        <w:t>z wyjątkiem statków powietrznych obrony cywilnej</w:t>
      </w:r>
    </w:p>
    <w:p w14:paraId="3CCEC776" w14:textId="65F7C4CA" w:rsidR="00222B8E" w:rsidRPr="0007311C" w:rsidRDefault="00222B8E" w:rsidP="00222B8E">
      <w:pPr>
        <w:jc w:val="both"/>
        <w:rPr>
          <w:rFonts w:ascii="Verdana" w:hAnsi="Verdana"/>
          <w:sz w:val="13"/>
          <w:szCs w:val="13"/>
        </w:rPr>
      </w:pPr>
      <w:r w:rsidRPr="0007311C">
        <w:rPr>
          <w:rFonts w:ascii="Verdana" w:hAnsi="Verdana"/>
          <w:sz w:val="13"/>
          <w:szCs w:val="13"/>
        </w:rPr>
        <w:t>Aby kwalifikow</w:t>
      </w:r>
      <w:r w:rsidR="00D04D7C" w:rsidRPr="00D04D7C">
        <w:rPr>
          <w:rFonts w:ascii="Verdana" w:hAnsi="Verdana"/>
          <w:sz w:val="13"/>
          <w:szCs w:val="13"/>
        </w:rPr>
        <w:t>ać się do wsparcia EBI, projekt</w:t>
      </w:r>
      <w:r w:rsidRPr="0007311C">
        <w:rPr>
          <w:rFonts w:ascii="Verdana" w:hAnsi="Verdana"/>
          <w:sz w:val="13"/>
          <w:szCs w:val="13"/>
        </w:rPr>
        <w:t>:</w:t>
      </w:r>
    </w:p>
    <w:p w14:paraId="6870350D" w14:textId="61AED20B" w:rsidR="00222B8E" w:rsidRPr="0007311C" w:rsidRDefault="00D04D7C" w:rsidP="00222B8E">
      <w:pPr>
        <w:pStyle w:val="Akapitzlist"/>
        <w:numPr>
          <w:ilvl w:val="0"/>
          <w:numId w:val="17"/>
        </w:numPr>
        <w:rPr>
          <w:rFonts w:ascii="Verdana" w:hAnsi="Verdana"/>
          <w:sz w:val="13"/>
          <w:szCs w:val="13"/>
        </w:rPr>
      </w:pPr>
      <w:r w:rsidRPr="00D04D7C">
        <w:rPr>
          <w:rFonts w:ascii="Verdana" w:hAnsi="Verdana"/>
          <w:sz w:val="13"/>
          <w:szCs w:val="13"/>
        </w:rPr>
        <w:t>musi być racjonalny</w:t>
      </w:r>
      <w:r w:rsidR="00222B8E" w:rsidRPr="0007311C">
        <w:rPr>
          <w:rFonts w:ascii="Verdana" w:hAnsi="Verdana"/>
          <w:sz w:val="13"/>
          <w:szCs w:val="13"/>
        </w:rPr>
        <w:t xml:space="preserve"> pod względem ekonomicznym, środowiskowym, technicznym i finansowym;</w:t>
      </w:r>
    </w:p>
    <w:p w14:paraId="0686111D" w14:textId="77777777" w:rsidR="00502CBD" w:rsidRDefault="00222B8E" w:rsidP="00502CBD">
      <w:pPr>
        <w:pStyle w:val="Akapitzlist"/>
        <w:numPr>
          <w:ilvl w:val="0"/>
          <w:numId w:val="17"/>
        </w:numPr>
        <w:rPr>
          <w:rFonts w:ascii="Verdana" w:hAnsi="Verdana"/>
          <w:sz w:val="13"/>
          <w:szCs w:val="13"/>
        </w:rPr>
      </w:pPr>
      <w:r w:rsidRPr="0007311C">
        <w:rPr>
          <w:rFonts w:ascii="Verdana" w:hAnsi="Verdana"/>
          <w:sz w:val="13"/>
          <w:szCs w:val="13"/>
        </w:rPr>
        <w:lastRenderedPageBreak/>
        <w:t>jeżeli jest częścią większej inwestycji, musi być samodzielny i sam w sobie opłacalny pod względem technicznym i ekonomicznym (niezależny od realizacji pozostałej części inwestycji)</w:t>
      </w:r>
      <w:r w:rsidRPr="0007311C">
        <w:rPr>
          <w:rStyle w:val="Odwoanieprzypisudolnego"/>
          <w:rFonts w:ascii="Verdana" w:hAnsi="Verdana"/>
          <w:sz w:val="13"/>
          <w:szCs w:val="13"/>
        </w:rPr>
        <w:footnoteReference w:id="5"/>
      </w:r>
      <w:r w:rsidRPr="0007311C">
        <w:rPr>
          <w:rFonts w:ascii="Verdana" w:hAnsi="Verdana"/>
          <w:sz w:val="13"/>
          <w:szCs w:val="13"/>
        </w:rPr>
        <w:t>;</w:t>
      </w:r>
    </w:p>
    <w:p w14:paraId="1179759A" w14:textId="44157714" w:rsidR="004028E8" w:rsidRPr="002B6737" w:rsidRDefault="00502CBD" w:rsidP="00502CBD">
      <w:pPr>
        <w:pStyle w:val="Akapitzlist"/>
        <w:numPr>
          <w:ilvl w:val="0"/>
          <w:numId w:val="17"/>
        </w:numPr>
        <w:rPr>
          <w:rFonts w:ascii="Verdana" w:hAnsi="Verdana"/>
          <w:sz w:val="13"/>
          <w:szCs w:val="13"/>
        </w:rPr>
      </w:pPr>
      <w:r w:rsidRPr="002B6737">
        <w:rPr>
          <w:rFonts w:ascii="Verdana" w:hAnsi="Verdana"/>
          <w:sz w:val="13"/>
          <w:szCs w:val="13"/>
        </w:rPr>
        <w:t>całkowity koszt realizowanego projektu nie może przekraczać 25 mln EUR, a kwota jednostkowej alokacji nie może przekroczyć 12,5 mln EUR ani kosztów kwalifikowalnych projektu. W przypadku współfinansowania ze środków publicznych (krajowych lub unijnych), suma finansowania EBI i wsparcia publicznego nie może przekroczyć 100% kosztów projektu (ewentualna różnica musi zostać pokryta ze środków własnych).</w:t>
      </w:r>
    </w:p>
    <w:p w14:paraId="37287937" w14:textId="0D3924DE" w:rsidR="00A233B8" w:rsidRDefault="00A233B8" w:rsidP="000563E5">
      <w:pPr>
        <w:spacing w:after="0"/>
        <w:ind w:left="720"/>
        <w:jc w:val="both"/>
        <w:rPr>
          <w:rFonts w:ascii="Verdana" w:hAnsi="Verdana"/>
          <w:sz w:val="13"/>
          <w:szCs w:val="13"/>
        </w:rPr>
      </w:pPr>
    </w:p>
    <w:p w14:paraId="15A93301" w14:textId="77777777" w:rsidR="00A233B8" w:rsidRDefault="00A233B8" w:rsidP="000563E5">
      <w:pPr>
        <w:spacing w:after="0"/>
        <w:ind w:left="720"/>
        <w:jc w:val="both"/>
        <w:rPr>
          <w:rFonts w:ascii="Verdana" w:hAnsi="Verdana"/>
          <w:sz w:val="13"/>
          <w:szCs w:val="13"/>
        </w:rPr>
      </w:pPr>
    </w:p>
    <w:p w14:paraId="31251DE4" w14:textId="6940B50F" w:rsidR="00E03408" w:rsidRPr="0025671A" w:rsidRDefault="00E03408" w:rsidP="000563E5">
      <w:pPr>
        <w:numPr>
          <w:ilvl w:val="0"/>
          <w:numId w:val="22"/>
        </w:numPr>
        <w:jc w:val="both"/>
        <w:rPr>
          <w:rFonts w:ascii="Verdana" w:hAnsi="Verdana"/>
          <w:sz w:val="13"/>
          <w:szCs w:val="13"/>
        </w:rPr>
      </w:pPr>
      <w:r w:rsidRPr="0025671A">
        <w:rPr>
          <w:rFonts w:ascii="Verdana" w:hAnsi="Verdana"/>
          <w:sz w:val="13"/>
          <w:szCs w:val="13"/>
        </w:rPr>
        <w:t xml:space="preserve">Działalność obronna </w:t>
      </w:r>
    </w:p>
    <w:p w14:paraId="05BB24A0" w14:textId="266A6A53" w:rsidR="00E03408" w:rsidRDefault="00E03408" w:rsidP="002755B6">
      <w:pPr>
        <w:jc w:val="both"/>
        <w:rPr>
          <w:rFonts w:ascii="Verdana" w:hAnsi="Verdana"/>
          <w:sz w:val="13"/>
          <w:szCs w:val="13"/>
        </w:rPr>
      </w:pPr>
      <w:r w:rsidRPr="00E03408">
        <w:rPr>
          <w:rFonts w:ascii="Verdana" w:hAnsi="Verdana"/>
          <w:sz w:val="13"/>
          <w:szCs w:val="13"/>
        </w:rPr>
        <w:t xml:space="preserve">Kwalifikujące się działania </w:t>
      </w:r>
      <w:r w:rsidR="00E20F33">
        <w:rPr>
          <w:rFonts w:ascii="Verdana" w:hAnsi="Verdana"/>
          <w:sz w:val="13"/>
          <w:szCs w:val="13"/>
        </w:rPr>
        <w:t>Beneficjentów Końcowych</w:t>
      </w:r>
      <w:r w:rsidRPr="00E03408">
        <w:rPr>
          <w:rFonts w:ascii="Verdana" w:hAnsi="Verdana"/>
          <w:sz w:val="13"/>
          <w:szCs w:val="13"/>
        </w:rPr>
        <w:t xml:space="preserve"> działających w sektorze obronnym ograniczają się do zakupu, produkcji i/lub rozwoju produktów „podwójnego zastosowania”. Produkty podwójnego zastosowania oznaczają produkty, w tym oprogramowanie i technologię, które mogą być wykorzystywane zarówno do celów cywilnych, jak i wojskowych i obejmują wszystkie towary, które mogą być użyte do celów niewybuchowych. EBI stosuje wykaz produktów i technologii podwójnego zastosowania w załączniku I do </w:t>
      </w:r>
      <w:r w:rsidR="00985B9F" w:rsidRPr="00985B9F">
        <w:rPr>
          <w:rFonts w:ascii="Verdana" w:hAnsi="Verdana"/>
          <w:sz w:val="13"/>
          <w:szCs w:val="13"/>
        </w:rPr>
        <w:t>Rozporządzeni</w:t>
      </w:r>
      <w:r w:rsidR="00985B9F">
        <w:rPr>
          <w:rFonts w:ascii="Verdana" w:hAnsi="Verdana"/>
          <w:sz w:val="13"/>
          <w:szCs w:val="13"/>
        </w:rPr>
        <w:t>a</w:t>
      </w:r>
      <w:r w:rsidR="00985B9F" w:rsidRPr="00985B9F">
        <w:rPr>
          <w:rFonts w:ascii="Verdana" w:hAnsi="Verdana"/>
          <w:sz w:val="13"/>
          <w:szCs w:val="13"/>
        </w:rPr>
        <w:t xml:space="preserve"> Parlamentu Europejskiego i Rady (UE) 2021/821 z dnia 20 maja 2021 r. ustanawiające unijny system kontroli wywozu, pośrednictwa, pomocy technicznej, tranzytu i transferu produktów podwójnego zastosowania (wersja przekształcona) (Dz. U. UE. L. z 2021 r. Nr 206, str. 1 z</w:t>
      </w:r>
      <w:r w:rsidR="00985B9F">
        <w:rPr>
          <w:rFonts w:ascii="Verdana" w:hAnsi="Verdana"/>
          <w:sz w:val="13"/>
          <w:szCs w:val="13"/>
        </w:rPr>
        <w:t>e</w:t>
      </w:r>
      <w:r w:rsidR="00985B9F" w:rsidRPr="00985B9F">
        <w:rPr>
          <w:rFonts w:ascii="Verdana" w:hAnsi="Verdana"/>
          <w:sz w:val="13"/>
          <w:szCs w:val="13"/>
        </w:rPr>
        <w:t xml:space="preserve"> zm.).</w:t>
      </w:r>
      <w:r>
        <w:rPr>
          <w:rStyle w:val="Odwoanieprzypisudolnego"/>
          <w:rFonts w:ascii="Verdana" w:hAnsi="Verdana"/>
          <w:sz w:val="13"/>
          <w:szCs w:val="13"/>
        </w:rPr>
        <w:footnoteReference w:id="6"/>
      </w:r>
      <w:r w:rsidRPr="00E03408">
        <w:rPr>
          <w:rFonts w:ascii="Verdana" w:hAnsi="Verdana"/>
          <w:sz w:val="13"/>
          <w:szCs w:val="13"/>
        </w:rPr>
        <w:t>. Warunki te mają również zastosowanie do projektów związanych z produkcją statków kosmicznych i powiązanych maszyn oraz transportu kosmicznego.</w:t>
      </w:r>
    </w:p>
    <w:p w14:paraId="50A9E055" w14:textId="1CFAE188" w:rsidR="0025671A" w:rsidRPr="000563E5" w:rsidRDefault="00E20F33" w:rsidP="000563E5">
      <w:pPr>
        <w:numPr>
          <w:ilvl w:val="0"/>
          <w:numId w:val="22"/>
        </w:numPr>
        <w:rPr>
          <w:rFonts w:ascii="Verdana" w:hAnsi="Verdana"/>
          <w:sz w:val="13"/>
          <w:szCs w:val="13"/>
        </w:rPr>
      </w:pPr>
      <w:r w:rsidRPr="00E20F33">
        <w:rPr>
          <w:rFonts w:ascii="Verdana" w:hAnsi="Verdana"/>
          <w:sz w:val="13"/>
          <w:szCs w:val="13"/>
        </w:rPr>
        <w:t xml:space="preserve">Działania </w:t>
      </w:r>
      <w:r>
        <w:rPr>
          <w:rFonts w:ascii="Verdana" w:hAnsi="Verdana"/>
          <w:sz w:val="13"/>
          <w:szCs w:val="13"/>
        </w:rPr>
        <w:t xml:space="preserve">w zakresie </w:t>
      </w:r>
      <w:r w:rsidRPr="00E20F33">
        <w:rPr>
          <w:rFonts w:ascii="Verdana" w:hAnsi="Verdana"/>
          <w:sz w:val="13"/>
          <w:szCs w:val="13"/>
        </w:rPr>
        <w:t>porządk</w:t>
      </w:r>
      <w:r>
        <w:rPr>
          <w:rFonts w:ascii="Verdana" w:hAnsi="Verdana"/>
          <w:sz w:val="13"/>
          <w:szCs w:val="13"/>
        </w:rPr>
        <w:t xml:space="preserve">u </w:t>
      </w:r>
      <w:r w:rsidRPr="00E20F33">
        <w:rPr>
          <w:rFonts w:ascii="Verdana" w:hAnsi="Verdana"/>
          <w:sz w:val="13"/>
          <w:szCs w:val="13"/>
        </w:rPr>
        <w:t>publiczn</w:t>
      </w:r>
      <w:r>
        <w:rPr>
          <w:rFonts w:ascii="Verdana" w:hAnsi="Verdana"/>
          <w:sz w:val="13"/>
          <w:szCs w:val="13"/>
        </w:rPr>
        <w:t>ego i bezpieczeństwa</w:t>
      </w:r>
    </w:p>
    <w:p w14:paraId="4C2ADAFF" w14:textId="4474A8DC" w:rsidR="002755B6" w:rsidRPr="000563E5" w:rsidRDefault="00E20F33" w:rsidP="002755B6">
      <w:pPr>
        <w:jc w:val="both"/>
        <w:rPr>
          <w:rFonts w:ascii="Verdana" w:hAnsi="Verdana"/>
          <w:sz w:val="13"/>
          <w:szCs w:val="13"/>
        </w:rPr>
      </w:pPr>
      <w:r w:rsidRPr="000563E5">
        <w:rPr>
          <w:rFonts w:ascii="Verdana" w:hAnsi="Verdana"/>
          <w:sz w:val="13"/>
          <w:szCs w:val="13"/>
        </w:rPr>
        <w:t>Kwalifikowalne Projekty dotyczące porządku i bezpieczeństwa publicznego są ograniczone do inwestycji, które nie przyczyniają się do łamania praw człowieka lub ograniczania wolności osób prywatnych. Finansowanie więzień, aresztów śledczych, zakładów poprawczych lub posterunków policji z aresztami śledczymi jest całkowicie wykluczone. Finansowanie działań Policji oraz Straży granicznej kwalifikuje się wyłącznie w przypadku Projektów dotyczących infrastruktury i sprzętu, które nie mogą bezpośrednio przyczyniać się do fizycznego naruszenia lub ograniczenia wolności osób prywatnych. Niniejsze warunki dotyczą również Projektów dotyczących nabycia samolotów obrony cywilnej.</w:t>
      </w:r>
    </w:p>
    <w:p w14:paraId="42D07B1A" w14:textId="77777777" w:rsidR="00C16F26" w:rsidRPr="000563E5" w:rsidRDefault="00C16F26" w:rsidP="000563E5">
      <w:pPr>
        <w:numPr>
          <w:ilvl w:val="0"/>
          <w:numId w:val="22"/>
        </w:numPr>
        <w:rPr>
          <w:rFonts w:ascii="Verdana" w:hAnsi="Verdana"/>
          <w:sz w:val="13"/>
          <w:szCs w:val="13"/>
        </w:rPr>
      </w:pPr>
      <w:r w:rsidRPr="000563E5">
        <w:rPr>
          <w:rFonts w:ascii="Verdana" w:hAnsi="Verdana"/>
          <w:sz w:val="13"/>
          <w:szCs w:val="13"/>
        </w:rPr>
        <w:t>Termin transakcji</w:t>
      </w:r>
    </w:p>
    <w:p w14:paraId="530F7507" w14:textId="086D5C99" w:rsidR="00C16F26" w:rsidRPr="0025671A" w:rsidRDefault="00C16F26" w:rsidP="00C16F26">
      <w:pPr>
        <w:jc w:val="both"/>
        <w:rPr>
          <w:rFonts w:ascii="Verdana" w:hAnsi="Verdana"/>
          <w:sz w:val="13"/>
          <w:szCs w:val="13"/>
        </w:rPr>
      </w:pPr>
      <w:r w:rsidRPr="0025671A">
        <w:rPr>
          <w:rFonts w:ascii="Verdana" w:hAnsi="Verdana"/>
          <w:sz w:val="13"/>
          <w:szCs w:val="13"/>
        </w:rPr>
        <w:t>Termin Transakcji</w:t>
      </w:r>
      <w:r w:rsidR="00FF1E04" w:rsidRPr="0025671A">
        <w:rPr>
          <w:rFonts w:ascii="Verdana" w:hAnsi="Verdana"/>
          <w:sz w:val="13"/>
          <w:szCs w:val="13"/>
        </w:rPr>
        <w:t xml:space="preserve"> (okres finansowania pojazdu)</w:t>
      </w:r>
      <w:r w:rsidRPr="0025671A">
        <w:rPr>
          <w:rFonts w:ascii="Verdana" w:hAnsi="Verdana"/>
          <w:sz w:val="13"/>
          <w:szCs w:val="13"/>
        </w:rPr>
        <w:t xml:space="preserve"> udzielonej przez </w:t>
      </w:r>
      <w:r w:rsidR="00B77C2C" w:rsidRPr="0025671A">
        <w:rPr>
          <w:rFonts w:ascii="Verdana" w:hAnsi="Verdana"/>
          <w:sz w:val="13"/>
          <w:szCs w:val="13"/>
        </w:rPr>
        <w:t>Santander Consumer Multirent</w:t>
      </w:r>
      <w:r w:rsidR="00F82E63" w:rsidRPr="00F82E63">
        <w:rPr>
          <w:rFonts w:ascii="Verdana" w:hAnsi="Verdana"/>
          <w:sz w:val="13"/>
          <w:szCs w:val="13"/>
        </w:rPr>
        <w:t xml:space="preserve"> </w:t>
      </w:r>
      <w:r w:rsidR="00F82E63">
        <w:rPr>
          <w:rFonts w:ascii="Verdana" w:hAnsi="Verdana"/>
          <w:sz w:val="13"/>
          <w:szCs w:val="13"/>
        </w:rPr>
        <w:t>Sp. z o.o.</w:t>
      </w:r>
      <w:r w:rsidRPr="0025671A">
        <w:rPr>
          <w:rFonts w:ascii="Verdana" w:hAnsi="Verdana"/>
          <w:sz w:val="13"/>
          <w:szCs w:val="13"/>
        </w:rPr>
        <w:t xml:space="preserve">, </w:t>
      </w:r>
      <w:r w:rsidR="003A6EA7" w:rsidRPr="0025671A">
        <w:rPr>
          <w:rFonts w:ascii="Verdana" w:hAnsi="Verdana"/>
          <w:sz w:val="13"/>
          <w:szCs w:val="13"/>
        </w:rPr>
        <w:t xml:space="preserve">Beneficjentowi </w:t>
      </w:r>
      <w:r w:rsidR="006F0450" w:rsidRPr="0025671A">
        <w:rPr>
          <w:rFonts w:ascii="Verdana" w:hAnsi="Verdana"/>
          <w:sz w:val="13"/>
          <w:szCs w:val="13"/>
        </w:rPr>
        <w:t>Końcowemu</w:t>
      </w:r>
      <w:r w:rsidRPr="0025671A">
        <w:rPr>
          <w:rFonts w:ascii="Verdana" w:hAnsi="Verdana"/>
          <w:sz w:val="13"/>
          <w:szCs w:val="13"/>
        </w:rPr>
        <w:t xml:space="preserve"> wynosi minimum 2 lata i nie może przekraczać ekonomicznej i technicznej żywotności finansowanego </w:t>
      </w:r>
      <w:r w:rsidR="006F0450" w:rsidRPr="0025671A">
        <w:rPr>
          <w:rFonts w:ascii="Verdana" w:hAnsi="Verdana"/>
          <w:sz w:val="13"/>
          <w:szCs w:val="13"/>
        </w:rPr>
        <w:t>pojazdu</w:t>
      </w:r>
      <w:r w:rsidR="002755B6">
        <w:rPr>
          <w:rFonts w:ascii="Verdana" w:hAnsi="Verdana"/>
          <w:sz w:val="13"/>
          <w:szCs w:val="13"/>
        </w:rPr>
        <w:t>.</w:t>
      </w:r>
    </w:p>
    <w:p w14:paraId="13096C8E" w14:textId="1C631FB1" w:rsidR="00A6287E" w:rsidRDefault="00E20F33" w:rsidP="00E20F33">
      <w:pPr>
        <w:pStyle w:val="Akapitzlist"/>
        <w:numPr>
          <w:ilvl w:val="0"/>
          <w:numId w:val="22"/>
        </w:numPr>
        <w:jc w:val="both"/>
        <w:rPr>
          <w:rFonts w:ascii="Verdana" w:hAnsi="Verdana"/>
          <w:sz w:val="13"/>
          <w:szCs w:val="13"/>
        </w:rPr>
      </w:pPr>
      <w:r w:rsidRPr="00E20F33">
        <w:rPr>
          <w:rFonts w:ascii="Verdana" w:hAnsi="Verdana"/>
          <w:sz w:val="13"/>
          <w:szCs w:val="13"/>
        </w:rPr>
        <w:t xml:space="preserve">Limity emisji CO2 dla </w:t>
      </w:r>
      <w:r>
        <w:rPr>
          <w:rFonts w:ascii="Verdana" w:hAnsi="Verdana"/>
          <w:sz w:val="13"/>
          <w:szCs w:val="13"/>
        </w:rPr>
        <w:t xml:space="preserve">pojazdów </w:t>
      </w:r>
      <w:r w:rsidRPr="00E20F33">
        <w:rPr>
          <w:rFonts w:ascii="Verdana" w:hAnsi="Verdana"/>
          <w:sz w:val="13"/>
          <w:szCs w:val="13"/>
        </w:rPr>
        <w:t>wykorzystywan</w:t>
      </w:r>
      <w:r>
        <w:rPr>
          <w:rFonts w:ascii="Verdana" w:hAnsi="Verdana"/>
          <w:sz w:val="13"/>
          <w:szCs w:val="13"/>
        </w:rPr>
        <w:t>ych</w:t>
      </w:r>
      <w:r w:rsidRPr="00E20F33">
        <w:rPr>
          <w:rFonts w:ascii="Verdana" w:hAnsi="Verdana"/>
          <w:sz w:val="13"/>
          <w:szCs w:val="13"/>
        </w:rPr>
        <w:t xml:space="preserve"> w transporcie</w:t>
      </w:r>
    </w:p>
    <w:p w14:paraId="27DA4D3D" w14:textId="4BD86021" w:rsidR="00E20F33" w:rsidRPr="000563E5" w:rsidRDefault="00E20F33" w:rsidP="000563E5">
      <w:pPr>
        <w:spacing w:after="0"/>
        <w:rPr>
          <w:rFonts w:ascii="Verdana" w:hAnsi="Verdana"/>
          <w:sz w:val="13"/>
          <w:szCs w:val="13"/>
        </w:rPr>
      </w:pPr>
      <w:r>
        <w:rPr>
          <w:rFonts w:ascii="Verdana" w:hAnsi="Verdana"/>
          <w:sz w:val="13"/>
          <w:szCs w:val="13"/>
        </w:rPr>
        <w:t>W</w:t>
      </w:r>
      <w:r w:rsidRPr="000563E5">
        <w:rPr>
          <w:rFonts w:ascii="Verdana" w:hAnsi="Verdana"/>
          <w:sz w:val="13"/>
          <w:szCs w:val="13"/>
        </w:rPr>
        <w:t xml:space="preserve"> przypadku samochodów osobowych i lekkich samochodów dostawczych (LCV) – pojazd będzie używany przede wszystkim do celów służbowych, a nie do użytku osobistego</w:t>
      </w:r>
      <w:r w:rsidRPr="000563E5" w:rsidDel="003B3A8B">
        <w:rPr>
          <w:rFonts w:ascii="Verdana" w:hAnsi="Verdana"/>
          <w:sz w:val="13"/>
          <w:szCs w:val="13"/>
        </w:rPr>
        <w:t xml:space="preserve"> </w:t>
      </w:r>
      <w:r w:rsidRPr="000563E5">
        <w:rPr>
          <w:rFonts w:ascii="Verdana" w:hAnsi="Verdana"/>
          <w:sz w:val="13"/>
          <w:szCs w:val="13"/>
        </w:rPr>
        <w:t>oraz będzie spełniał poniższe warunki kwalifikowalności:</w:t>
      </w:r>
    </w:p>
    <w:p w14:paraId="7CD1EEE7" w14:textId="77777777" w:rsidR="00E20F33" w:rsidRPr="0024158A" w:rsidRDefault="00E20F33" w:rsidP="00E20F33">
      <w:pPr>
        <w:spacing w:after="0"/>
        <w:rPr>
          <w:rFonts w:ascii="Verdana" w:hAnsi="Verdana"/>
          <w:sz w:val="13"/>
          <w:szCs w:val="13"/>
        </w:rPr>
      </w:pPr>
    </w:p>
    <w:tbl>
      <w:tblPr>
        <w:tblOverlap w:val="never"/>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8" w:type="dxa"/>
          <w:left w:w="57" w:type="dxa"/>
          <w:bottom w:w="28" w:type="dxa"/>
          <w:right w:w="57" w:type="dxa"/>
        </w:tblCellMar>
        <w:tblLook w:val="04A0" w:firstRow="1" w:lastRow="0" w:firstColumn="1" w:lastColumn="0" w:noHBand="0" w:noVBand="1"/>
      </w:tblPr>
      <w:tblGrid>
        <w:gridCol w:w="2263"/>
        <w:gridCol w:w="8193"/>
      </w:tblGrid>
      <w:tr w:rsidR="00E20F33" w:rsidRPr="003B3A8B" w14:paraId="72D1EDA0" w14:textId="77777777" w:rsidTr="00D50630">
        <w:tc>
          <w:tcPr>
            <w:tcW w:w="1082" w:type="pct"/>
            <w:tcBorders>
              <w:top w:val="single" w:sz="4" w:space="0" w:color="auto"/>
              <w:left w:val="single" w:sz="4" w:space="0" w:color="000000"/>
              <w:bottom w:val="single" w:sz="4" w:space="0" w:color="000000"/>
              <w:right w:val="single" w:sz="4" w:space="0" w:color="000000"/>
            </w:tcBorders>
            <w:shd w:val="clear" w:color="auto" w:fill="FFFFFF"/>
          </w:tcPr>
          <w:p w14:paraId="1CC71AA4" w14:textId="35F3A7CA" w:rsidR="00E20F33" w:rsidRPr="003B3A8B" w:rsidRDefault="00E20F33">
            <w:pPr>
              <w:rPr>
                <w:rFonts w:ascii="Verdana" w:hAnsi="Verdana"/>
                <w:sz w:val="13"/>
                <w:szCs w:val="13"/>
              </w:rPr>
            </w:pPr>
            <w:r w:rsidRPr="0024158A">
              <w:rPr>
                <w:rFonts w:ascii="Verdana" w:hAnsi="Verdana"/>
                <w:sz w:val="13"/>
                <w:szCs w:val="13"/>
              </w:rPr>
              <w:t>Samochody osobowe</w:t>
            </w:r>
            <w:r w:rsidR="00E23A62">
              <w:rPr>
                <w:rFonts w:ascii="Verdana" w:hAnsi="Verdana"/>
                <w:sz w:val="13"/>
                <w:szCs w:val="13"/>
              </w:rPr>
              <w:t xml:space="preserve"> (kategoria M1)</w:t>
            </w:r>
          </w:p>
        </w:tc>
        <w:tc>
          <w:tcPr>
            <w:tcW w:w="3918" w:type="pct"/>
            <w:tcBorders>
              <w:top w:val="single" w:sz="4" w:space="0" w:color="auto"/>
              <w:left w:val="single" w:sz="4" w:space="0" w:color="000000"/>
              <w:bottom w:val="single" w:sz="4" w:space="0" w:color="auto"/>
              <w:right w:val="single" w:sz="4" w:space="0" w:color="000000"/>
            </w:tcBorders>
            <w:shd w:val="clear" w:color="auto" w:fill="FFFFFF"/>
          </w:tcPr>
          <w:p w14:paraId="1D55CFD6" w14:textId="77777777" w:rsidR="00E20F33" w:rsidRPr="0024158A" w:rsidRDefault="00E20F33">
            <w:pPr>
              <w:rPr>
                <w:rFonts w:ascii="Verdana" w:hAnsi="Verdana"/>
                <w:sz w:val="13"/>
                <w:szCs w:val="13"/>
              </w:rPr>
            </w:pPr>
            <w:r>
              <w:rPr>
                <w:rFonts w:ascii="Verdana" w:hAnsi="Verdana"/>
                <w:sz w:val="13"/>
                <w:szCs w:val="13"/>
              </w:rPr>
              <w:t>Pojazd może być sfinansowany ze wsparciem EBI jeżeli jest zeroemisyjny lub:</w:t>
            </w:r>
          </w:p>
          <w:p w14:paraId="0012F872" w14:textId="170EDB5A" w:rsidR="00E20F33" w:rsidRPr="0024158A" w:rsidRDefault="00E20F33">
            <w:pPr>
              <w:rPr>
                <w:rFonts w:ascii="Verdana" w:hAnsi="Verdana"/>
                <w:sz w:val="13"/>
                <w:szCs w:val="13"/>
              </w:rPr>
            </w:pPr>
            <w:r w:rsidRPr="0024158A">
              <w:rPr>
                <w:rFonts w:ascii="Verdana" w:hAnsi="Verdana"/>
                <w:sz w:val="13"/>
                <w:szCs w:val="13"/>
              </w:rPr>
              <w:t>Emisja bezpośrednia &lt;=5</w:t>
            </w:r>
            <w:r w:rsidR="00E23A62">
              <w:rPr>
                <w:rFonts w:ascii="Verdana" w:hAnsi="Verdana"/>
                <w:sz w:val="13"/>
                <w:szCs w:val="13"/>
              </w:rPr>
              <w:t>0</w:t>
            </w:r>
            <w:r w:rsidRPr="0024158A">
              <w:rPr>
                <w:rFonts w:ascii="Verdana" w:hAnsi="Verdana"/>
                <w:sz w:val="13"/>
                <w:szCs w:val="13"/>
              </w:rPr>
              <w:t>g CO2/km zgodnie z ogólnoświatową procedurą testową dla pojazdów lekkich (WLTP). W przypadku, gdy pojazd został wyprodukowany przed 1 września 2019 roku, wówczas do określenia emisji pojazdu stosuje się współczynnik konwersji 1,21 z NEDC na WLTP.</w:t>
            </w:r>
          </w:p>
        </w:tc>
      </w:tr>
      <w:tr w:rsidR="00E20F33" w:rsidRPr="003B3A8B" w14:paraId="6716A551" w14:textId="77777777" w:rsidTr="00D50630">
        <w:tc>
          <w:tcPr>
            <w:tcW w:w="1082" w:type="pct"/>
            <w:tcBorders>
              <w:top w:val="single" w:sz="4" w:space="0" w:color="000000"/>
              <w:left w:val="single" w:sz="4" w:space="0" w:color="000000"/>
              <w:bottom w:val="single" w:sz="4" w:space="0" w:color="000000"/>
              <w:right w:val="single" w:sz="4" w:space="0" w:color="000000"/>
            </w:tcBorders>
            <w:shd w:val="clear" w:color="auto" w:fill="FFFFFF"/>
          </w:tcPr>
          <w:p w14:paraId="7A960683" w14:textId="38F0497C" w:rsidR="00E20F33" w:rsidRPr="003B3A8B" w:rsidRDefault="00E20F33">
            <w:pPr>
              <w:rPr>
                <w:rFonts w:ascii="Verdana" w:hAnsi="Verdana"/>
                <w:sz w:val="13"/>
                <w:szCs w:val="13"/>
              </w:rPr>
            </w:pPr>
            <w:r>
              <w:rPr>
                <w:rFonts w:ascii="Verdana" w:hAnsi="Verdana"/>
                <w:sz w:val="13"/>
                <w:szCs w:val="13"/>
              </w:rPr>
              <w:t>Lekkie samochody dostawcze (LCV) oraz samochody</w:t>
            </w:r>
            <w:r w:rsidRPr="0024158A">
              <w:rPr>
                <w:rFonts w:ascii="Verdana" w:hAnsi="Verdana"/>
                <w:sz w:val="13"/>
                <w:szCs w:val="13"/>
              </w:rPr>
              <w:t xml:space="preserve"> dostawcze</w:t>
            </w:r>
            <w:r>
              <w:rPr>
                <w:rFonts w:ascii="Verdana" w:hAnsi="Verdana"/>
                <w:sz w:val="13"/>
                <w:szCs w:val="13"/>
              </w:rPr>
              <w:t xml:space="preserve"> o DMC do 3,5t</w:t>
            </w:r>
            <w:r w:rsidR="00E23A62">
              <w:rPr>
                <w:rFonts w:ascii="Verdana" w:hAnsi="Verdana"/>
                <w:sz w:val="13"/>
                <w:szCs w:val="13"/>
              </w:rPr>
              <w:t xml:space="preserve"> (kategoria N1)</w:t>
            </w:r>
          </w:p>
        </w:tc>
        <w:tc>
          <w:tcPr>
            <w:tcW w:w="3918" w:type="pct"/>
            <w:tcBorders>
              <w:top w:val="single" w:sz="4" w:space="0" w:color="auto"/>
              <w:left w:val="single" w:sz="4" w:space="0" w:color="000000"/>
              <w:bottom w:val="single" w:sz="4" w:space="0" w:color="000000"/>
              <w:right w:val="single" w:sz="4" w:space="0" w:color="000000"/>
            </w:tcBorders>
            <w:shd w:val="clear" w:color="auto" w:fill="FFFFFF"/>
          </w:tcPr>
          <w:p w14:paraId="6884D316" w14:textId="77777777" w:rsidR="00E20F33" w:rsidRPr="00C12EE2" w:rsidRDefault="00E20F33">
            <w:pPr>
              <w:rPr>
                <w:rFonts w:ascii="Verdana" w:hAnsi="Verdana"/>
                <w:sz w:val="13"/>
                <w:szCs w:val="13"/>
              </w:rPr>
            </w:pPr>
            <w:r>
              <w:rPr>
                <w:rFonts w:ascii="Verdana" w:hAnsi="Verdana"/>
                <w:sz w:val="13"/>
                <w:szCs w:val="13"/>
              </w:rPr>
              <w:t>Pojazd może być sfinansowany ze wsparciem EBI jeżeli jest zeroemisyjny lub:</w:t>
            </w:r>
          </w:p>
          <w:p w14:paraId="4AA2EACD" w14:textId="3001C3AB" w:rsidR="00E20F33" w:rsidRPr="0024158A" w:rsidRDefault="00E20F33">
            <w:pPr>
              <w:rPr>
                <w:rFonts w:ascii="Verdana" w:hAnsi="Verdana"/>
                <w:sz w:val="13"/>
                <w:szCs w:val="13"/>
              </w:rPr>
            </w:pPr>
            <w:r w:rsidRPr="0024158A">
              <w:rPr>
                <w:rFonts w:ascii="Verdana" w:hAnsi="Verdana"/>
                <w:sz w:val="13"/>
                <w:szCs w:val="13"/>
              </w:rPr>
              <w:t>Emisja bezpośrednia &lt;=</w:t>
            </w:r>
            <w:r w:rsidR="00E23A62">
              <w:rPr>
                <w:rFonts w:ascii="Verdana" w:hAnsi="Verdana"/>
                <w:sz w:val="13"/>
                <w:szCs w:val="13"/>
              </w:rPr>
              <w:t>50</w:t>
            </w:r>
            <w:r w:rsidRPr="0024158A">
              <w:rPr>
                <w:rFonts w:ascii="Verdana" w:hAnsi="Verdana"/>
                <w:sz w:val="13"/>
                <w:szCs w:val="13"/>
              </w:rPr>
              <w:t>g CO2/km zgodnie z ogólnoświatową procedurą testową dla pojazdów lekkich (WLTP). W przypadku, gdy pojazd został wyprodukowany przed 1 września 2019 roku, wówczas do określenia emisji pojazdu stosuje się współczynnik konwersji 1,2</w:t>
            </w:r>
            <w:r w:rsidR="00FD22B9">
              <w:rPr>
                <w:rFonts w:ascii="Verdana" w:hAnsi="Verdana"/>
                <w:sz w:val="13"/>
                <w:szCs w:val="13"/>
              </w:rPr>
              <w:t>1</w:t>
            </w:r>
            <w:r w:rsidRPr="0024158A">
              <w:rPr>
                <w:rFonts w:ascii="Verdana" w:hAnsi="Verdana"/>
                <w:sz w:val="13"/>
                <w:szCs w:val="13"/>
              </w:rPr>
              <w:t xml:space="preserve"> z NEDC na WLTP.</w:t>
            </w:r>
          </w:p>
        </w:tc>
      </w:tr>
      <w:tr w:rsidR="00E20F33" w:rsidRPr="003B3A8B" w14:paraId="6817BF30" w14:textId="77777777" w:rsidTr="00D50630">
        <w:tc>
          <w:tcPr>
            <w:tcW w:w="1082" w:type="pct"/>
            <w:tcBorders>
              <w:top w:val="single" w:sz="4" w:space="0" w:color="000000"/>
              <w:left w:val="single" w:sz="4" w:space="0" w:color="000000"/>
              <w:bottom w:val="single" w:sz="4" w:space="0" w:color="000000"/>
              <w:right w:val="single" w:sz="4" w:space="0" w:color="000000"/>
            </w:tcBorders>
            <w:shd w:val="clear" w:color="auto" w:fill="FFFFFF"/>
          </w:tcPr>
          <w:p w14:paraId="6AD11560" w14:textId="5B7DA8B3" w:rsidR="00E20F33" w:rsidRPr="003B3A8B" w:rsidRDefault="001C7B14">
            <w:pPr>
              <w:rPr>
                <w:rFonts w:ascii="Verdana" w:hAnsi="Verdana"/>
                <w:sz w:val="13"/>
                <w:szCs w:val="13"/>
              </w:rPr>
            </w:pPr>
            <w:r>
              <w:rPr>
                <w:rFonts w:ascii="Verdana" w:hAnsi="Verdana"/>
                <w:sz w:val="13"/>
                <w:szCs w:val="13"/>
              </w:rPr>
              <w:t>Motocykle</w:t>
            </w:r>
            <w:r w:rsidR="00E23A62">
              <w:rPr>
                <w:rFonts w:ascii="Verdana" w:hAnsi="Verdana"/>
                <w:sz w:val="13"/>
                <w:szCs w:val="13"/>
              </w:rPr>
              <w:t xml:space="preserve"> (kategoria L)</w:t>
            </w:r>
          </w:p>
        </w:tc>
        <w:tc>
          <w:tcPr>
            <w:tcW w:w="3918" w:type="pct"/>
            <w:tcBorders>
              <w:top w:val="single" w:sz="4" w:space="0" w:color="000000"/>
              <w:left w:val="single" w:sz="4" w:space="0" w:color="000000"/>
              <w:bottom w:val="single" w:sz="4" w:space="0" w:color="000000"/>
              <w:right w:val="single" w:sz="4" w:space="0" w:color="000000"/>
            </w:tcBorders>
            <w:shd w:val="clear" w:color="auto" w:fill="FFFFFF"/>
          </w:tcPr>
          <w:p w14:paraId="722DF4DD" w14:textId="6E2B50FE" w:rsidR="00E20F33" w:rsidRPr="0024158A" w:rsidRDefault="00E20F33">
            <w:pPr>
              <w:rPr>
                <w:rFonts w:ascii="Verdana" w:hAnsi="Verdana"/>
                <w:sz w:val="13"/>
                <w:szCs w:val="13"/>
              </w:rPr>
            </w:pPr>
            <w:r>
              <w:rPr>
                <w:rFonts w:ascii="Verdana" w:hAnsi="Verdana"/>
                <w:sz w:val="13"/>
                <w:szCs w:val="13"/>
              </w:rPr>
              <w:t xml:space="preserve">Pojazd może być sfinansowany ze wsparciem EBI jeżeli jest </w:t>
            </w:r>
            <w:r w:rsidR="00D50630" w:rsidRPr="00E917A8">
              <w:rPr>
                <w:rFonts w:ascii="Verdana" w:hAnsi="Verdana"/>
                <w:sz w:val="13"/>
                <w:szCs w:val="13"/>
              </w:rPr>
              <w:t>o zerowej bezpośredniej emisji CO₂ z rury wydechowej.</w:t>
            </w:r>
          </w:p>
        </w:tc>
      </w:tr>
    </w:tbl>
    <w:p w14:paraId="720E8CD8" w14:textId="77777777" w:rsidR="00E20F33" w:rsidRDefault="00E20F33" w:rsidP="00E20F33">
      <w:pPr>
        <w:spacing w:after="0"/>
        <w:jc w:val="both"/>
        <w:rPr>
          <w:rFonts w:ascii="Verdana" w:hAnsi="Verdana"/>
          <w:sz w:val="13"/>
          <w:szCs w:val="13"/>
        </w:rPr>
      </w:pPr>
    </w:p>
    <w:p w14:paraId="6B964359" w14:textId="77777777" w:rsidR="00205D93" w:rsidRPr="0088303C" w:rsidRDefault="00205D93" w:rsidP="0088303C">
      <w:pPr>
        <w:jc w:val="both"/>
        <w:rPr>
          <w:rFonts w:ascii="Verdana" w:hAnsi="Verdana"/>
          <w:sz w:val="13"/>
          <w:szCs w:val="13"/>
        </w:rPr>
      </w:pPr>
    </w:p>
    <w:sectPr w:rsidR="00205D93" w:rsidRPr="0088303C" w:rsidSect="00317C09">
      <w:headerReference w:type="default" r:id="rId9"/>
      <w:footerReference w:type="default" r:id="rId10"/>
      <w:pgSz w:w="11906" w:h="16838"/>
      <w:pgMar w:top="720" w:right="720" w:bottom="720" w:left="720"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10AB" w14:textId="77777777" w:rsidR="00194FF4" w:rsidRDefault="00194FF4" w:rsidP="0088303C">
      <w:pPr>
        <w:spacing w:after="0" w:line="240" w:lineRule="auto"/>
      </w:pPr>
      <w:r>
        <w:separator/>
      </w:r>
    </w:p>
  </w:endnote>
  <w:endnote w:type="continuationSeparator" w:id="0">
    <w:p w14:paraId="662311F8" w14:textId="77777777" w:rsidR="00194FF4" w:rsidRDefault="00194FF4" w:rsidP="0088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oogle San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589608"/>
      <w:docPartObj>
        <w:docPartGallery w:val="Page Numbers (Bottom of Page)"/>
        <w:docPartUnique/>
      </w:docPartObj>
    </w:sdtPr>
    <w:sdtEndPr>
      <w:rPr>
        <w:rFonts w:ascii="Verdana" w:hAnsi="Verdana"/>
        <w:sz w:val="12"/>
        <w:szCs w:val="12"/>
      </w:rPr>
    </w:sdtEndPr>
    <w:sdtContent>
      <w:p w14:paraId="7DF3E066" w14:textId="397E0A2C" w:rsidR="00317C09" w:rsidRPr="00317C09" w:rsidRDefault="00317C09">
        <w:pPr>
          <w:pStyle w:val="Stopka"/>
          <w:jc w:val="right"/>
          <w:rPr>
            <w:rFonts w:ascii="Verdana" w:hAnsi="Verdana"/>
            <w:sz w:val="12"/>
            <w:szCs w:val="12"/>
          </w:rPr>
        </w:pPr>
        <w:r w:rsidRPr="00317C09">
          <w:rPr>
            <w:rFonts w:ascii="Verdana" w:hAnsi="Verdana"/>
            <w:sz w:val="12"/>
            <w:szCs w:val="12"/>
          </w:rPr>
          <w:fldChar w:fldCharType="begin"/>
        </w:r>
        <w:r w:rsidRPr="00317C09">
          <w:rPr>
            <w:rFonts w:ascii="Verdana" w:hAnsi="Verdana"/>
            <w:sz w:val="12"/>
            <w:szCs w:val="12"/>
          </w:rPr>
          <w:instrText>PAGE   \* MERGEFORMAT</w:instrText>
        </w:r>
        <w:r w:rsidRPr="00317C09">
          <w:rPr>
            <w:rFonts w:ascii="Verdana" w:hAnsi="Verdana"/>
            <w:sz w:val="12"/>
            <w:szCs w:val="12"/>
          </w:rPr>
          <w:fldChar w:fldCharType="separate"/>
        </w:r>
        <w:r w:rsidR="00066D2D">
          <w:rPr>
            <w:rFonts w:ascii="Verdana" w:hAnsi="Verdana"/>
            <w:noProof/>
            <w:sz w:val="12"/>
            <w:szCs w:val="12"/>
          </w:rPr>
          <w:t>1</w:t>
        </w:r>
        <w:r w:rsidRPr="00317C09">
          <w:rPr>
            <w:rFonts w:ascii="Verdana" w:hAnsi="Verdana"/>
            <w:sz w:val="12"/>
            <w:szCs w:val="12"/>
          </w:rPr>
          <w:fldChar w:fldCharType="end"/>
        </w:r>
      </w:p>
    </w:sdtContent>
  </w:sdt>
  <w:p w14:paraId="06128B25" w14:textId="77777777" w:rsidR="00317C09" w:rsidRDefault="00317C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012C" w14:textId="77777777" w:rsidR="00194FF4" w:rsidRDefault="00194FF4" w:rsidP="0088303C">
      <w:pPr>
        <w:spacing w:after="0" w:line="240" w:lineRule="auto"/>
      </w:pPr>
      <w:r>
        <w:separator/>
      </w:r>
    </w:p>
  </w:footnote>
  <w:footnote w:type="continuationSeparator" w:id="0">
    <w:p w14:paraId="266CF778" w14:textId="77777777" w:rsidR="00194FF4" w:rsidRDefault="00194FF4" w:rsidP="0088303C">
      <w:pPr>
        <w:spacing w:after="0" w:line="240" w:lineRule="auto"/>
      </w:pPr>
      <w:r>
        <w:continuationSeparator/>
      </w:r>
    </w:p>
  </w:footnote>
  <w:footnote w:id="1">
    <w:p w14:paraId="0A726BA3" w14:textId="2383BA05" w:rsidR="005207E4" w:rsidRPr="003336FA" w:rsidRDefault="005207E4">
      <w:pPr>
        <w:pStyle w:val="Tekstprzypisudolnego"/>
        <w:rPr>
          <w:sz w:val="12"/>
          <w:szCs w:val="12"/>
        </w:rPr>
      </w:pPr>
      <w:r w:rsidRPr="003336FA">
        <w:rPr>
          <w:rStyle w:val="Odwoanieprzypisudolnego"/>
          <w:rFonts w:ascii="Verdana" w:hAnsi="Verdana"/>
          <w:sz w:val="12"/>
          <w:szCs w:val="12"/>
        </w:rPr>
        <w:footnoteRef/>
      </w:r>
      <w:r w:rsidRPr="003336FA">
        <w:rPr>
          <w:rStyle w:val="Odwoanieprzypisudolnego"/>
          <w:rFonts w:ascii="Verdana" w:hAnsi="Verdana"/>
          <w:sz w:val="12"/>
          <w:szCs w:val="12"/>
        </w:rPr>
        <w:t xml:space="preserve"> </w:t>
      </w:r>
      <w:r w:rsidR="009102C7">
        <w:rPr>
          <w:rFonts w:ascii="Verdana" w:hAnsi="Verdana"/>
          <w:sz w:val="12"/>
          <w:szCs w:val="12"/>
        </w:rPr>
        <w:t xml:space="preserve"> </w:t>
      </w:r>
      <w:r w:rsidR="009102C7" w:rsidRPr="009102C7">
        <w:rPr>
          <w:rFonts w:ascii="Verdana" w:hAnsi="Verdana"/>
          <w:sz w:val="12"/>
          <w:szCs w:val="12"/>
        </w:rPr>
        <w:t>https://www.eib.org</w:t>
      </w:r>
      <w:r w:rsidR="0092081C">
        <w:rPr>
          <w:rFonts w:ascii="Verdana" w:hAnsi="Verdana"/>
          <w:sz w:val="12"/>
          <w:szCs w:val="12"/>
        </w:rPr>
        <w:t>/</w:t>
      </w:r>
    </w:p>
  </w:footnote>
  <w:footnote w:id="2">
    <w:p w14:paraId="632FE448" w14:textId="77777777" w:rsidR="00A6287E" w:rsidRPr="00B87DD4" w:rsidRDefault="00A6287E" w:rsidP="00A6287E">
      <w:pPr>
        <w:pStyle w:val="Tekstprzypisudolnego"/>
        <w:rPr>
          <w:rStyle w:val="Odwoanieprzypisudolnego"/>
          <w:rFonts w:ascii="Verdana" w:hAnsi="Verdana"/>
          <w:sz w:val="10"/>
          <w:szCs w:val="10"/>
        </w:rPr>
      </w:pPr>
      <w:r w:rsidRPr="00B87DD4">
        <w:rPr>
          <w:rStyle w:val="Odwoanieprzypisudolnego"/>
          <w:rFonts w:ascii="Verdana" w:hAnsi="Verdana"/>
          <w:sz w:val="10"/>
          <w:szCs w:val="10"/>
        </w:rPr>
        <w:footnoteRef/>
      </w:r>
      <w:r>
        <w:rPr>
          <w:rFonts w:ascii="Verdana" w:hAnsi="Verdana"/>
          <w:sz w:val="10"/>
          <w:szCs w:val="10"/>
        </w:rPr>
        <w:t xml:space="preserve"> </w:t>
      </w:r>
      <w:r>
        <w:rPr>
          <w:rStyle w:val="Odwoanieprzypisudolnego"/>
          <w:rFonts w:ascii="Verdana" w:hAnsi="Verdana"/>
          <w:sz w:val="10"/>
          <w:szCs w:val="10"/>
          <w:vertAlign w:val="baseline"/>
        </w:rPr>
        <w:t>W</w:t>
      </w:r>
      <w:r>
        <w:rPr>
          <w:rFonts w:ascii="Verdana" w:hAnsi="Verdana"/>
          <w:sz w:val="10"/>
          <w:szCs w:val="10"/>
        </w:rPr>
        <w:t xml:space="preserve"> tym broń sportowa. </w:t>
      </w:r>
    </w:p>
  </w:footnote>
  <w:footnote w:id="3">
    <w:p w14:paraId="3F558050" w14:textId="77777777" w:rsidR="00A6287E" w:rsidRPr="00045B92" w:rsidRDefault="00A6287E" w:rsidP="00A6287E">
      <w:pPr>
        <w:pStyle w:val="Tekstprzypisudolnego"/>
        <w:rPr>
          <w:rFonts w:ascii="Verdana" w:hAnsi="Verdana"/>
          <w:sz w:val="10"/>
          <w:szCs w:val="10"/>
        </w:rPr>
      </w:pPr>
      <w:r w:rsidRPr="00045B92">
        <w:rPr>
          <w:rStyle w:val="Odwoanieprzypisudolnego"/>
          <w:rFonts w:ascii="Verdana" w:hAnsi="Verdana"/>
          <w:sz w:val="10"/>
        </w:rPr>
        <w:footnoteRef/>
      </w:r>
      <w:r w:rsidRPr="00045B92">
        <w:rPr>
          <w:rFonts w:ascii="Verdana" w:hAnsi="Verdana"/>
          <w:sz w:val="10"/>
          <w:szCs w:val="10"/>
        </w:rPr>
        <w:t xml:space="preserve"> Działania z udziałem żywych zwierząt do celów eksperymentalnych i naukowych są kwalifikowal</w:t>
      </w:r>
      <w:r>
        <w:rPr>
          <w:rFonts w:ascii="Verdana" w:hAnsi="Verdana"/>
          <w:sz w:val="10"/>
          <w:szCs w:val="10"/>
        </w:rPr>
        <w:t xml:space="preserve">ne, o ile są zgodne z dyrektywą </w:t>
      </w:r>
      <w:r w:rsidRPr="00045B92">
        <w:rPr>
          <w:rFonts w:ascii="Verdana" w:hAnsi="Verdana"/>
          <w:sz w:val="10"/>
          <w:szCs w:val="10"/>
        </w:rPr>
        <w:t>2010/63 / UE Parlamentu Europejskiego i Rady z dnia 22 września 2010 r. W sprawie „Oc</w:t>
      </w:r>
      <w:r>
        <w:rPr>
          <w:rFonts w:ascii="Verdana" w:hAnsi="Verdana"/>
          <w:sz w:val="10"/>
          <w:szCs w:val="10"/>
        </w:rPr>
        <w:t xml:space="preserve">hrony zwierząt wykorzystywanych </w:t>
      </w:r>
      <w:r w:rsidRPr="00045B92">
        <w:rPr>
          <w:rFonts w:ascii="Verdana" w:hAnsi="Verdana"/>
          <w:sz w:val="10"/>
          <w:szCs w:val="10"/>
        </w:rPr>
        <w:t>cele naukowe ”</w:t>
      </w:r>
    </w:p>
  </w:footnote>
  <w:footnote w:id="4">
    <w:p w14:paraId="2D07CBF1" w14:textId="3FAC1200" w:rsidR="00E72591" w:rsidRPr="000563E5" w:rsidRDefault="00E72591">
      <w:pPr>
        <w:pStyle w:val="Tekstprzypisudolnego"/>
        <w:rPr>
          <w:sz w:val="10"/>
          <w:szCs w:val="10"/>
        </w:rPr>
      </w:pPr>
      <w:r w:rsidRPr="000563E5">
        <w:rPr>
          <w:rFonts w:ascii="Verdana" w:hAnsi="Verdana"/>
          <w:sz w:val="10"/>
          <w:szCs w:val="10"/>
        </w:rPr>
        <w:footnoteRef/>
      </w:r>
      <w:r w:rsidRPr="000563E5">
        <w:rPr>
          <w:rFonts w:ascii="Verdana" w:hAnsi="Verdana"/>
          <w:sz w:val="10"/>
          <w:szCs w:val="10"/>
        </w:rPr>
        <w:t xml:space="preserve"> Aktualne definicje terminu „zielone według EBI” są wymienione w opublikowanym dokumencie Climate Bank Roadmap </w:t>
      </w:r>
      <w:hyperlink r:id="rId1" w:history="1">
        <w:r w:rsidR="00953889" w:rsidRPr="006A35D0">
          <w:rPr>
            <w:rStyle w:val="Hipercze"/>
            <w:rFonts w:ascii="Verdana" w:hAnsi="Verdana"/>
            <w:sz w:val="10"/>
            <w:szCs w:val="10"/>
          </w:rPr>
          <w:t>https://www.eib.org/en/publications/20250240-eib-group-climate-bank-roadmap-phase-2-2026-2030</w:t>
        </w:r>
      </w:hyperlink>
      <w:r w:rsidR="00953889">
        <w:rPr>
          <w:rFonts w:ascii="Verdana" w:hAnsi="Verdana"/>
          <w:sz w:val="10"/>
          <w:szCs w:val="10"/>
        </w:rPr>
        <w:t xml:space="preserve"> </w:t>
      </w:r>
      <w:r w:rsidRPr="000563E5">
        <w:rPr>
          <w:rFonts w:ascii="Verdana" w:hAnsi="Verdana"/>
          <w:sz w:val="10"/>
          <w:szCs w:val="10"/>
        </w:rPr>
        <w:t>. Wszelkie nowe informacje są publikowane na stronie internetowej EBI, a także uwzględnione w narzędziu Green Eligibility Checker.</w:t>
      </w:r>
    </w:p>
  </w:footnote>
  <w:footnote w:id="5">
    <w:p w14:paraId="6B6DD521" w14:textId="5AA42165" w:rsidR="00222B8E" w:rsidRPr="00EC056A" w:rsidRDefault="00222B8E" w:rsidP="003336FA">
      <w:pPr>
        <w:pStyle w:val="Tekstprzypisudolnego"/>
        <w:rPr>
          <w:rFonts w:ascii="Verdana" w:hAnsi="Verdana"/>
          <w:sz w:val="10"/>
          <w:szCs w:val="10"/>
        </w:rPr>
      </w:pPr>
      <w:r w:rsidRPr="003336FA">
        <w:rPr>
          <w:rFonts w:ascii="Verdana" w:hAnsi="Verdana"/>
          <w:sz w:val="10"/>
          <w:szCs w:val="10"/>
          <w:vertAlign w:val="superscript"/>
        </w:rPr>
        <w:footnoteRef/>
      </w:r>
      <w:r w:rsidRPr="003336FA">
        <w:rPr>
          <w:rFonts w:ascii="Verdana" w:hAnsi="Verdana"/>
          <w:sz w:val="10"/>
          <w:szCs w:val="10"/>
          <w:vertAlign w:val="superscript"/>
        </w:rPr>
        <w:t xml:space="preserve"> </w:t>
      </w:r>
      <w:r w:rsidRPr="00EC056A">
        <w:rPr>
          <w:rFonts w:ascii="Verdana" w:hAnsi="Verdana"/>
          <w:sz w:val="10"/>
          <w:szCs w:val="10"/>
        </w:rPr>
        <w:t xml:space="preserve">Duże inwestycje (dla których całkowity koszt projektu przekracza 25 milionów EUR) mogą czasami składać się z kilku samodzielnych części. Jeżeli każda część jest ekonomicznie i technicznie opłacalna sama w sobie i nie jest zależna od realizacji innego etapu, SCB Polska (w stosownych przypadkach) może sfinansować jedną z tych części osobno, jeśli ich koszt jest niższy niż </w:t>
      </w:r>
      <w:r w:rsidR="00E03408" w:rsidRPr="00EC056A">
        <w:rPr>
          <w:rFonts w:ascii="Verdana" w:hAnsi="Verdana"/>
          <w:sz w:val="10"/>
          <w:szCs w:val="10"/>
        </w:rPr>
        <w:t>25 milionów EUR</w:t>
      </w:r>
      <w:r w:rsidRPr="00EC056A">
        <w:rPr>
          <w:rFonts w:ascii="Verdana" w:hAnsi="Verdana"/>
          <w:sz w:val="10"/>
          <w:szCs w:val="10"/>
        </w:rPr>
        <w:t>. Jako przykład: podmiot z sektora prywatnego planuje rozwinięcie istniejącego targu</w:t>
      </w:r>
      <w:r w:rsidR="00E03408" w:rsidRPr="00EC056A">
        <w:rPr>
          <w:rFonts w:ascii="Verdana" w:hAnsi="Verdana"/>
          <w:sz w:val="10"/>
          <w:szCs w:val="10"/>
        </w:rPr>
        <w:t xml:space="preserve"> handlowego</w:t>
      </w:r>
      <w:r w:rsidRPr="00EC056A">
        <w:rPr>
          <w:rFonts w:ascii="Verdana" w:hAnsi="Verdana"/>
          <w:sz w:val="10"/>
          <w:szCs w:val="10"/>
        </w:rPr>
        <w:t xml:space="preserve">. Chce zbudować 2 sale, wielofunkcyjną i jeszcze jedną przeznaczoną wyłącznie dla konferencji  naukowych, z których każda kosztuje 15 mln EUR. Chociaż całkowity koszt inwestycji przekracza maksymalną kwotę 25 mln EUR, każde rozszerzenie może funkcjonować technicznie i ekonomicznie niezależnie od drugiego. W związku z tym SCB Polska </w:t>
      </w:r>
      <w:r w:rsidR="00E03408" w:rsidRPr="00EC056A">
        <w:rPr>
          <w:rFonts w:ascii="Verdana" w:hAnsi="Verdana"/>
          <w:sz w:val="10"/>
          <w:szCs w:val="10"/>
        </w:rPr>
        <w:t>może</w:t>
      </w:r>
      <w:r w:rsidRPr="00EC056A">
        <w:rPr>
          <w:rFonts w:ascii="Verdana" w:hAnsi="Verdana"/>
          <w:sz w:val="10"/>
          <w:szCs w:val="10"/>
        </w:rPr>
        <w:t xml:space="preserve"> finansować jedną z powyższych części na warunkach niniejszego pisma dodatkowego, pod warunkiem że druga część nie jest finansowana z żadnego wsparcia grupy EBI.</w:t>
      </w:r>
    </w:p>
  </w:footnote>
  <w:footnote w:id="6">
    <w:p w14:paraId="4394EDD4" w14:textId="1819DD32" w:rsidR="00E03408" w:rsidRPr="0007311C" w:rsidRDefault="00E03408" w:rsidP="0007311C">
      <w:pPr>
        <w:pStyle w:val="Tekstprzypisudolnego"/>
        <w:jc w:val="both"/>
        <w:rPr>
          <w:rFonts w:ascii="Verdana" w:hAnsi="Verdana"/>
          <w:sz w:val="10"/>
          <w:szCs w:val="10"/>
        </w:rPr>
      </w:pPr>
      <w:r w:rsidRPr="0007311C">
        <w:rPr>
          <w:rStyle w:val="Odwoanieprzypisudolnego"/>
          <w:rFonts w:ascii="Verdana" w:hAnsi="Verdana"/>
          <w:sz w:val="10"/>
          <w:szCs w:val="10"/>
        </w:rPr>
        <w:footnoteRef/>
      </w:r>
      <w:r w:rsidRPr="0007311C">
        <w:rPr>
          <w:rFonts w:ascii="Verdana" w:hAnsi="Verdana"/>
          <w:sz w:val="10"/>
          <w:szCs w:val="10"/>
        </w:rPr>
        <w:t xml:space="preserve"> Dla jasności produkty podwójnego zastosowania, które można wykorzystać do produkcji broni jądrowej lub innego nuklearnego materiału wybuchowego urządzenia są wyłączone ze wsparcia EBI. Projekty podwójnego zastosowania dotyczące ostatecznych odbiorców działających w sektorach</w:t>
      </w:r>
      <w:r w:rsidRPr="0025671A">
        <w:rPr>
          <w:rFonts w:ascii="Verdana" w:hAnsi="Verdana"/>
          <w:sz w:val="10"/>
          <w:szCs w:val="10"/>
        </w:rPr>
        <w:t xml:space="preserve"> energii jądrowej, przetwarzania paliwa jądrowego, wzbogacania</w:t>
      </w:r>
      <w:r w:rsidRPr="0007311C">
        <w:rPr>
          <w:rFonts w:ascii="Verdana" w:hAnsi="Verdana"/>
          <w:sz w:val="10"/>
          <w:szCs w:val="10"/>
        </w:rPr>
        <w:t xml:space="preserve"> uranu i ponowne przetwarzanie napromieniowanego paliwa są całkowicie wyłączone z listy kodów sektorowych NACE.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3EBF" w14:textId="0DBFF768" w:rsidR="0001648E" w:rsidRPr="000563E5" w:rsidRDefault="0001648E" w:rsidP="0001648E">
    <w:pPr>
      <w:pStyle w:val="Nagwek"/>
      <w:jc w:val="center"/>
      <w:rPr>
        <w:rFonts w:ascii="Verdana" w:hAnsi="Verdana"/>
        <w:b/>
        <w:sz w:val="13"/>
        <w:szCs w:val="13"/>
      </w:rPr>
    </w:pPr>
    <w:r w:rsidRPr="000563E5">
      <w:rPr>
        <w:rFonts w:ascii="Verdana" w:hAnsi="Verdana"/>
        <w:b/>
        <w:sz w:val="13"/>
        <w:szCs w:val="13"/>
      </w:rPr>
      <w:t xml:space="preserve">Kryteria Kwalifikowalności obowiązujące dla umów </w:t>
    </w:r>
    <w:r w:rsidR="00387FEF">
      <w:rPr>
        <w:rFonts w:ascii="Verdana" w:hAnsi="Verdana"/>
        <w:b/>
        <w:sz w:val="13"/>
        <w:szCs w:val="13"/>
      </w:rPr>
      <w:t>leasingu</w:t>
    </w:r>
    <w:r w:rsidR="00275F35">
      <w:rPr>
        <w:rFonts w:ascii="Verdana" w:hAnsi="Verdana"/>
        <w:b/>
        <w:sz w:val="13"/>
        <w:szCs w:val="13"/>
      </w:rPr>
      <w:t xml:space="preserve"> </w:t>
    </w:r>
    <w:r w:rsidR="00275F35" w:rsidRPr="00275F35">
      <w:rPr>
        <w:rFonts w:ascii="Verdana" w:hAnsi="Verdana"/>
        <w:b/>
        <w:sz w:val="13"/>
        <w:szCs w:val="13"/>
      </w:rPr>
      <w:t xml:space="preserve">ze wsparciem środków Europejskiego Banku Inwestycyjnego </w:t>
    </w:r>
    <w:r w:rsidRPr="000563E5">
      <w:rPr>
        <w:rFonts w:ascii="Verdana" w:hAnsi="Verdana"/>
        <w:b/>
        <w:sz w:val="13"/>
        <w:szCs w:val="13"/>
      </w:rPr>
      <w:t xml:space="preserve">zawartych od </w:t>
    </w:r>
    <w:r w:rsidR="00221459">
      <w:rPr>
        <w:rFonts w:ascii="Verdana" w:hAnsi="Verdana"/>
        <w:b/>
        <w:sz w:val="13"/>
        <w:szCs w:val="13"/>
      </w:rPr>
      <w:t>15.03.2026 r.</w:t>
    </w:r>
  </w:p>
  <w:p w14:paraId="65F17DA2" w14:textId="77777777" w:rsidR="0001648E" w:rsidRDefault="000164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4CE"/>
    <w:multiLevelType w:val="hybridMultilevel"/>
    <w:tmpl w:val="C09E2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93AC3"/>
    <w:multiLevelType w:val="hybridMultilevel"/>
    <w:tmpl w:val="2E48D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73446E"/>
    <w:multiLevelType w:val="hybridMultilevel"/>
    <w:tmpl w:val="FE80F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1913CE"/>
    <w:multiLevelType w:val="hybridMultilevel"/>
    <w:tmpl w:val="03EAA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400D77"/>
    <w:multiLevelType w:val="hybridMultilevel"/>
    <w:tmpl w:val="8F80C8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BF6280"/>
    <w:multiLevelType w:val="hybridMultilevel"/>
    <w:tmpl w:val="2FD0A6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2F41557"/>
    <w:multiLevelType w:val="hybridMultilevel"/>
    <w:tmpl w:val="AD1ED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F32DEF"/>
    <w:multiLevelType w:val="hybridMultilevel"/>
    <w:tmpl w:val="EF0412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E203CFB"/>
    <w:multiLevelType w:val="hybridMultilevel"/>
    <w:tmpl w:val="47F4D286"/>
    <w:lvl w:ilvl="0" w:tplc="1C068AD0">
      <w:start w:val="1"/>
      <w:numFmt w:val="bullet"/>
      <w:lvlText w:val=""/>
      <w:lvlJc w:val="left"/>
      <w:pPr>
        <w:ind w:left="1440" w:hanging="360"/>
      </w:pPr>
      <w:rPr>
        <w:rFonts w:ascii="Symbol" w:hAnsi="Symbol"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9BA631E"/>
    <w:multiLevelType w:val="hybridMultilevel"/>
    <w:tmpl w:val="932C700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BD354F8"/>
    <w:multiLevelType w:val="hybridMultilevel"/>
    <w:tmpl w:val="EF10BF3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F70B3"/>
    <w:multiLevelType w:val="hybridMultilevel"/>
    <w:tmpl w:val="B18E01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741A34"/>
    <w:multiLevelType w:val="hybridMultilevel"/>
    <w:tmpl w:val="7BA844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752C41"/>
    <w:multiLevelType w:val="hybridMultilevel"/>
    <w:tmpl w:val="A0B0F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2B2C2D"/>
    <w:multiLevelType w:val="hybridMultilevel"/>
    <w:tmpl w:val="CE425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2F209D"/>
    <w:multiLevelType w:val="hybridMultilevel"/>
    <w:tmpl w:val="BAA6E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0C1434"/>
    <w:multiLevelType w:val="hybridMultilevel"/>
    <w:tmpl w:val="A838DC7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CE21A49"/>
    <w:multiLevelType w:val="hybridMultilevel"/>
    <w:tmpl w:val="24509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EB6BCE"/>
    <w:multiLevelType w:val="hybridMultilevel"/>
    <w:tmpl w:val="005C2E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2444AA"/>
    <w:multiLevelType w:val="hybridMultilevel"/>
    <w:tmpl w:val="266ECDD6"/>
    <w:lvl w:ilvl="0" w:tplc="26A83F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98236C1"/>
    <w:multiLevelType w:val="hybridMultilevel"/>
    <w:tmpl w:val="23ACE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EE0442"/>
    <w:multiLevelType w:val="hybridMultilevel"/>
    <w:tmpl w:val="FCE0A58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ED63EEE"/>
    <w:multiLevelType w:val="hybridMultilevel"/>
    <w:tmpl w:val="C5D8807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4634141">
    <w:abstractNumId w:val="15"/>
  </w:num>
  <w:num w:numId="2" w16cid:durableId="365639840">
    <w:abstractNumId w:val="3"/>
  </w:num>
  <w:num w:numId="3" w16cid:durableId="195192742">
    <w:abstractNumId w:val="19"/>
  </w:num>
  <w:num w:numId="4" w16cid:durableId="1912226163">
    <w:abstractNumId w:val="5"/>
  </w:num>
  <w:num w:numId="5" w16cid:durableId="1899630349">
    <w:abstractNumId w:val="16"/>
  </w:num>
  <w:num w:numId="6" w16cid:durableId="998650198">
    <w:abstractNumId w:val="11"/>
  </w:num>
  <w:num w:numId="7" w16cid:durableId="1830289833">
    <w:abstractNumId w:val="9"/>
  </w:num>
  <w:num w:numId="8" w16cid:durableId="454564558">
    <w:abstractNumId w:val="21"/>
  </w:num>
  <w:num w:numId="9" w16cid:durableId="762066786">
    <w:abstractNumId w:val="20"/>
  </w:num>
  <w:num w:numId="10" w16cid:durableId="866912004">
    <w:abstractNumId w:val="18"/>
  </w:num>
  <w:num w:numId="11" w16cid:durableId="1784499523">
    <w:abstractNumId w:val="12"/>
  </w:num>
  <w:num w:numId="12" w16cid:durableId="358288327">
    <w:abstractNumId w:val="2"/>
  </w:num>
  <w:num w:numId="13" w16cid:durableId="828406371">
    <w:abstractNumId w:val="22"/>
  </w:num>
  <w:num w:numId="14" w16cid:durableId="2112969713">
    <w:abstractNumId w:val="13"/>
  </w:num>
  <w:num w:numId="15" w16cid:durableId="1019239368">
    <w:abstractNumId w:val="7"/>
  </w:num>
  <w:num w:numId="16" w16cid:durableId="1264412920">
    <w:abstractNumId w:val="14"/>
  </w:num>
  <w:num w:numId="17" w16cid:durableId="422773065">
    <w:abstractNumId w:val="4"/>
  </w:num>
  <w:num w:numId="18" w16cid:durableId="54552856">
    <w:abstractNumId w:val="8"/>
  </w:num>
  <w:num w:numId="19" w16cid:durableId="660932985">
    <w:abstractNumId w:val="1"/>
  </w:num>
  <w:num w:numId="20" w16cid:durableId="491799183">
    <w:abstractNumId w:val="6"/>
  </w:num>
  <w:num w:numId="21" w16cid:durableId="656039138">
    <w:abstractNumId w:val="17"/>
  </w:num>
  <w:num w:numId="22" w16cid:durableId="412439498">
    <w:abstractNumId w:val="0"/>
  </w:num>
  <w:num w:numId="23" w16cid:durableId="273903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CF"/>
    <w:rsid w:val="00001642"/>
    <w:rsid w:val="0001648E"/>
    <w:rsid w:val="00017EEC"/>
    <w:rsid w:val="0002219E"/>
    <w:rsid w:val="00037E59"/>
    <w:rsid w:val="0004684C"/>
    <w:rsid w:val="000515B5"/>
    <w:rsid w:val="000563E5"/>
    <w:rsid w:val="00056DD9"/>
    <w:rsid w:val="0006513B"/>
    <w:rsid w:val="00066D2D"/>
    <w:rsid w:val="0007311C"/>
    <w:rsid w:val="0007320E"/>
    <w:rsid w:val="000A5468"/>
    <w:rsid w:val="000E0AE4"/>
    <w:rsid w:val="000F02B8"/>
    <w:rsid w:val="001145B9"/>
    <w:rsid w:val="00123370"/>
    <w:rsid w:val="001519F9"/>
    <w:rsid w:val="00160717"/>
    <w:rsid w:val="00194FF4"/>
    <w:rsid w:val="001975AA"/>
    <w:rsid w:val="001C7B14"/>
    <w:rsid w:val="001D18CF"/>
    <w:rsid w:val="001D2448"/>
    <w:rsid w:val="001D544D"/>
    <w:rsid w:val="001E6B1F"/>
    <w:rsid w:val="001F4989"/>
    <w:rsid w:val="00204A7A"/>
    <w:rsid w:val="00205D93"/>
    <w:rsid w:val="0020685E"/>
    <w:rsid w:val="00221459"/>
    <w:rsid w:val="00222B8E"/>
    <w:rsid w:val="0025671A"/>
    <w:rsid w:val="002755B6"/>
    <w:rsid w:val="00275F35"/>
    <w:rsid w:val="00284F7A"/>
    <w:rsid w:val="0029230F"/>
    <w:rsid w:val="002A19C2"/>
    <w:rsid w:val="002B125D"/>
    <w:rsid w:val="002B6737"/>
    <w:rsid w:val="002C3ACC"/>
    <w:rsid w:val="00317C09"/>
    <w:rsid w:val="0032334D"/>
    <w:rsid w:val="003336FA"/>
    <w:rsid w:val="00344EC3"/>
    <w:rsid w:val="00351E2A"/>
    <w:rsid w:val="00363F6C"/>
    <w:rsid w:val="00380BAC"/>
    <w:rsid w:val="003821A3"/>
    <w:rsid w:val="00387FEF"/>
    <w:rsid w:val="003A00D8"/>
    <w:rsid w:val="003A6EA7"/>
    <w:rsid w:val="003B3A8B"/>
    <w:rsid w:val="003E2BDD"/>
    <w:rsid w:val="003E7A49"/>
    <w:rsid w:val="004028E8"/>
    <w:rsid w:val="00430B67"/>
    <w:rsid w:val="0043196F"/>
    <w:rsid w:val="00445A6E"/>
    <w:rsid w:val="0048684F"/>
    <w:rsid w:val="00493337"/>
    <w:rsid w:val="004B7E5D"/>
    <w:rsid w:val="004D4BAF"/>
    <w:rsid w:val="004D68B7"/>
    <w:rsid w:val="00502CBD"/>
    <w:rsid w:val="00515B7D"/>
    <w:rsid w:val="005207E4"/>
    <w:rsid w:val="00521A34"/>
    <w:rsid w:val="00532CDA"/>
    <w:rsid w:val="005403C7"/>
    <w:rsid w:val="00540CFF"/>
    <w:rsid w:val="00541DC2"/>
    <w:rsid w:val="00551017"/>
    <w:rsid w:val="0059545D"/>
    <w:rsid w:val="005A1141"/>
    <w:rsid w:val="005A5A78"/>
    <w:rsid w:val="005B4545"/>
    <w:rsid w:val="005C3C73"/>
    <w:rsid w:val="005D4C6A"/>
    <w:rsid w:val="005E4D7B"/>
    <w:rsid w:val="00600A96"/>
    <w:rsid w:val="00602B5D"/>
    <w:rsid w:val="00617205"/>
    <w:rsid w:val="00625E38"/>
    <w:rsid w:val="00666B9A"/>
    <w:rsid w:val="00683389"/>
    <w:rsid w:val="0068394F"/>
    <w:rsid w:val="00683F80"/>
    <w:rsid w:val="00684F0C"/>
    <w:rsid w:val="006966B5"/>
    <w:rsid w:val="006A72DD"/>
    <w:rsid w:val="006C4101"/>
    <w:rsid w:val="006D31CC"/>
    <w:rsid w:val="006F0450"/>
    <w:rsid w:val="00703B9D"/>
    <w:rsid w:val="007309ED"/>
    <w:rsid w:val="00755FD5"/>
    <w:rsid w:val="00760F35"/>
    <w:rsid w:val="00765BC0"/>
    <w:rsid w:val="0076642B"/>
    <w:rsid w:val="007816C6"/>
    <w:rsid w:val="007818EE"/>
    <w:rsid w:val="00781C4C"/>
    <w:rsid w:val="00787B4C"/>
    <w:rsid w:val="007A5751"/>
    <w:rsid w:val="007A6F8D"/>
    <w:rsid w:val="007B5A9A"/>
    <w:rsid w:val="007D4E30"/>
    <w:rsid w:val="007D537D"/>
    <w:rsid w:val="007E1465"/>
    <w:rsid w:val="007E5CA9"/>
    <w:rsid w:val="008115F5"/>
    <w:rsid w:val="008118DE"/>
    <w:rsid w:val="00814C40"/>
    <w:rsid w:val="00820FBA"/>
    <w:rsid w:val="0082179C"/>
    <w:rsid w:val="008360DF"/>
    <w:rsid w:val="008470B9"/>
    <w:rsid w:val="0085587D"/>
    <w:rsid w:val="0087316C"/>
    <w:rsid w:val="00877919"/>
    <w:rsid w:val="0088303C"/>
    <w:rsid w:val="00885E54"/>
    <w:rsid w:val="008A0621"/>
    <w:rsid w:val="008A518B"/>
    <w:rsid w:val="008D0D87"/>
    <w:rsid w:val="008D73BB"/>
    <w:rsid w:val="008F59EE"/>
    <w:rsid w:val="009102C7"/>
    <w:rsid w:val="00910AB7"/>
    <w:rsid w:val="0092081C"/>
    <w:rsid w:val="00953889"/>
    <w:rsid w:val="00955122"/>
    <w:rsid w:val="00985B9F"/>
    <w:rsid w:val="00985D82"/>
    <w:rsid w:val="00993881"/>
    <w:rsid w:val="009A1CBE"/>
    <w:rsid w:val="009A379D"/>
    <w:rsid w:val="009C1855"/>
    <w:rsid w:val="009C3356"/>
    <w:rsid w:val="009C579E"/>
    <w:rsid w:val="009D1299"/>
    <w:rsid w:val="009F7AB9"/>
    <w:rsid w:val="00A233B8"/>
    <w:rsid w:val="00A6287E"/>
    <w:rsid w:val="00A7020C"/>
    <w:rsid w:val="00A721DC"/>
    <w:rsid w:val="00A83548"/>
    <w:rsid w:val="00AA4C48"/>
    <w:rsid w:val="00AB22D5"/>
    <w:rsid w:val="00AE0D37"/>
    <w:rsid w:val="00AE3FD2"/>
    <w:rsid w:val="00B01E3C"/>
    <w:rsid w:val="00B04C71"/>
    <w:rsid w:val="00B23C40"/>
    <w:rsid w:val="00B401C8"/>
    <w:rsid w:val="00B41E36"/>
    <w:rsid w:val="00B66E71"/>
    <w:rsid w:val="00B75E9D"/>
    <w:rsid w:val="00B77C2C"/>
    <w:rsid w:val="00BA354F"/>
    <w:rsid w:val="00BB12C9"/>
    <w:rsid w:val="00BD2E83"/>
    <w:rsid w:val="00BD35A4"/>
    <w:rsid w:val="00BD5BFD"/>
    <w:rsid w:val="00BF3679"/>
    <w:rsid w:val="00BF7532"/>
    <w:rsid w:val="00C16F26"/>
    <w:rsid w:val="00C22753"/>
    <w:rsid w:val="00C33888"/>
    <w:rsid w:val="00C5136C"/>
    <w:rsid w:val="00C62B2D"/>
    <w:rsid w:val="00C6522F"/>
    <w:rsid w:val="00C753A8"/>
    <w:rsid w:val="00C9306F"/>
    <w:rsid w:val="00CB6AE5"/>
    <w:rsid w:val="00CB7E49"/>
    <w:rsid w:val="00CD0D2F"/>
    <w:rsid w:val="00CD5C10"/>
    <w:rsid w:val="00CE55D7"/>
    <w:rsid w:val="00CF6198"/>
    <w:rsid w:val="00D020FB"/>
    <w:rsid w:val="00D04D7C"/>
    <w:rsid w:val="00D07AA9"/>
    <w:rsid w:val="00D07AAA"/>
    <w:rsid w:val="00D14E6E"/>
    <w:rsid w:val="00D50630"/>
    <w:rsid w:val="00D64B32"/>
    <w:rsid w:val="00D927FA"/>
    <w:rsid w:val="00D94118"/>
    <w:rsid w:val="00DB6619"/>
    <w:rsid w:val="00DC1C20"/>
    <w:rsid w:val="00DC1DC3"/>
    <w:rsid w:val="00DC1E0E"/>
    <w:rsid w:val="00DD2780"/>
    <w:rsid w:val="00DD66E9"/>
    <w:rsid w:val="00DE133B"/>
    <w:rsid w:val="00DF084B"/>
    <w:rsid w:val="00E03408"/>
    <w:rsid w:val="00E06F61"/>
    <w:rsid w:val="00E20F33"/>
    <w:rsid w:val="00E22BCC"/>
    <w:rsid w:val="00E23A62"/>
    <w:rsid w:val="00E72591"/>
    <w:rsid w:val="00E73C84"/>
    <w:rsid w:val="00E7548A"/>
    <w:rsid w:val="00EB1E72"/>
    <w:rsid w:val="00EC056A"/>
    <w:rsid w:val="00ED26DC"/>
    <w:rsid w:val="00EE3ECA"/>
    <w:rsid w:val="00EE4D1B"/>
    <w:rsid w:val="00EF1CD7"/>
    <w:rsid w:val="00EF2FFB"/>
    <w:rsid w:val="00F14295"/>
    <w:rsid w:val="00F27775"/>
    <w:rsid w:val="00F36DE9"/>
    <w:rsid w:val="00F373B6"/>
    <w:rsid w:val="00F43666"/>
    <w:rsid w:val="00F46E76"/>
    <w:rsid w:val="00F549F4"/>
    <w:rsid w:val="00F54A5B"/>
    <w:rsid w:val="00F553A9"/>
    <w:rsid w:val="00F62871"/>
    <w:rsid w:val="00F64135"/>
    <w:rsid w:val="00F75447"/>
    <w:rsid w:val="00F81254"/>
    <w:rsid w:val="00F82E63"/>
    <w:rsid w:val="00F8340C"/>
    <w:rsid w:val="00FC6DB1"/>
    <w:rsid w:val="00FD22B9"/>
    <w:rsid w:val="00FD6D8F"/>
    <w:rsid w:val="00FF1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EB99"/>
  <w15:chartTrackingRefBased/>
  <w15:docId w15:val="{2F0FC4B0-D6DD-4A71-A243-21DE9FDA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18CF"/>
    <w:pPr>
      <w:ind w:left="720"/>
      <w:contextualSpacing/>
    </w:pPr>
  </w:style>
  <w:style w:type="table" w:styleId="Tabela-Siatka">
    <w:name w:val="Table Grid"/>
    <w:basedOn w:val="Standardowy"/>
    <w:uiPriority w:val="39"/>
    <w:rsid w:val="000A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8303C"/>
    <w:rPr>
      <w:color w:val="0563C1" w:themeColor="hyperlink"/>
      <w:u w:val="single"/>
    </w:rPr>
  </w:style>
  <w:style w:type="character" w:styleId="UyteHipercze">
    <w:name w:val="FollowedHyperlink"/>
    <w:basedOn w:val="Domylnaczcionkaakapitu"/>
    <w:uiPriority w:val="99"/>
    <w:semiHidden/>
    <w:unhideWhenUsed/>
    <w:rsid w:val="0088303C"/>
    <w:rPr>
      <w:color w:val="954F72" w:themeColor="followedHyperlink"/>
      <w:u w:val="single"/>
    </w:rPr>
  </w:style>
  <w:style w:type="paragraph" w:styleId="Tekstprzypisudolnego">
    <w:name w:val="footnote text"/>
    <w:basedOn w:val="Normalny"/>
    <w:link w:val="TekstprzypisudolnegoZnak"/>
    <w:uiPriority w:val="99"/>
    <w:semiHidden/>
    <w:unhideWhenUsed/>
    <w:rsid w:val="0088303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303C"/>
    <w:rPr>
      <w:sz w:val="20"/>
      <w:szCs w:val="20"/>
    </w:rPr>
  </w:style>
  <w:style w:type="character" w:styleId="Odwoanieprzypisudolnego">
    <w:name w:val="footnote reference"/>
    <w:basedOn w:val="Domylnaczcionkaakapitu"/>
    <w:uiPriority w:val="99"/>
    <w:semiHidden/>
    <w:unhideWhenUsed/>
    <w:rsid w:val="0088303C"/>
    <w:rPr>
      <w:vertAlign w:val="superscript"/>
    </w:rPr>
  </w:style>
  <w:style w:type="character" w:styleId="Odwoaniedokomentarza">
    <w:name w:val="annotation reference"/>
    <w:basedOn w:val="Domylnaczcionkaakapitu"/>
    <w:uiPriority w:val="99"/>
    <w:semiHidden/>
    <w:unhideWhenUsed/>
    <w:rsid w:val="00205D93"/>
    <w:rPr>
      <w:sz w:val="16"/>
      <w:szCs w:val="16"/>
    </w:rPr>
  </w:style>
  <w:style w:type="paragraph" w:styleId="Tekstkomentarza">
    <w:name w:val="annotation text"/>
    <w:basedOn w:val="Normalny"/>
    <w:link w:val="TekstkomentarzaZnak"/>
    <w:uiPriority w:val="99"/>
    <w:unhideWhenUsed/>
    <w:rsid w:val="00205D93"/>
    <w:pPr>
      <w:spacing w:line="240" w:lineRule="auto"/>
    </w:pPr>
    <w:rPr>
      <w:sz w:val="20"/>
      <w:szCs w:val="20"/>
    </w:rPr>
  </w:style>
  <w:style w:type="character" w:customStyle="1" w:styleId="TekstkomentarzaZnak">
    <w:name w:val="Tekst komentarza Znak"/>
    <w:basedOn w:val="Domylnaczcionkaakapitu"/>
    <w:link w:val="Tekstkomentarza"/>
    <w:uiPriority w:val="99"/>
    <w:rsid w:val="00205D93"/>
    <w:rPr>
      <w:sz w:val="20"/>
      <w:szCs w:val="20"/>
    </w:rPr>
  </w:style>
  <w:style w:type="paragraph" w:styleId="Tekstdymka">
    <w:name w:val="Balloon Text"/>
    <w:basedOn w:val="Normalny"/>
    <w:link w:val="TekstdymkaZnak"/>
    <w:uiPriority w:val="99"/>
    <w:semiHidden/>
    <w:unhideWhenUsed/>
    <w:rsid w:val="00205D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5D9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15B7D"/>
    <w:rPr>
      <w:b/>
      <w:bCs/>
    </w:rPr>
  </w:style>
  <w:style w:type="character" w:customStyle="1" w:styleId="TematkomentarzaZnak">
    <w:name w:val="Temat komentarza Znak"/>
    <w:basedOn w:val="TekstkomentarzaZnak"/>
    <w:link w:val="Tematkomentarza"/>
    <w:uiPriority w:val="99"/>
    <w:semiHidden/>
    <w:rsid w:val="00515B7D"/>
    <w:rPr>
      <w:b/>
      <w:bCs/>
      <w:sz w:val="20"/>
      <w:szCs w:val="20"/>
    </w:rPr>
  </w:style>
  <w:style w:type="paragraph" w:styleId="Poprawka">
    <w:name w:val="Revision"/>
    <w:hidden/>
    <w:uiPriority w:val="99"/>
    <w:semiHidden/>
    <w:rsid w:val="00955122"/>
    <w:pPr>
      <w:spacing w:after="0" w:line="240" w:lineRule="auto"/>
    </w:pPr>
  </w:style>
  <w:style w:type="paragraph" w:styleId="Nagwek">
    <w:name w:val="header"/>
    <w:basedOn w:val="Normalny"/>
    <w:link w:val="NagwekZnak"/>
    <w:uiPriority w:val="99"/>
    <w:unhideWhenUsed/>
    <w:rsid w:val="00317C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7C09"/>
  </w:style>
  <w:style w:type="paragraph" w:styleId="Stopka">
    <w:name w:val="footer"/>
    <w:basedOn w:val="Normalny"/>
    <w:link w:val="StopkaZnak"/>
    <w:uiPriority w:val="99"/>
    <w:unhideWhenUsed/>
    <w:rsid w:val="00317C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7C09"/>
  </w:style>
  <w:style w:type="character" w:customStyle="1" w:styleId="Nierozpoznanawzmianka1">
    <w:name w:val="Nierozpoznana wzmianka1"/>
    <w:basedOn w:val="Domylnaczcionkaakapitu"/>
    <w:uiPriority w:val="99"/>
    <w:semiHidden/>
    <w:unhideWhenUsed/>
    <w:rsid w:val="001519F9"/>
    <w:rPr>
      <w:color w:val="605E5C"/>
      <w:shd w:val="clear" w:color="auto" w:fill="E1DFDD"/>
    </w:rPr>
  </w:style>
  <w:style w:type="character" w:customStyle="1" w:styleId="hwtze">
    <w:name w:val="hwtze"/>
    <w:basedOn w:val="Domylnaczcionkaakapitu"/>
    <w:rsid w:val="00E20F33"/>
  </w:style>
  <w:style w:type="character" w:customStyle="1" w:styleId="rynqvb">
    <w:name w:val="rynqvb"/>
    <w:basedOn w:val="Domylnaczcionkaakapitu"/>
    <w:rsid w:val="00E20F33"/>
  </w:style>
  <w:style w:type="character" w:styleId="Nierozpoznanawzmianka">
    <w:name w:val="Unresolved Mention"/>
    <w:basedOn w:val="Domylnaczcionkaakapitu"/>
    <w:uiPriority w:val="99"/>
    <w:semiHidden/>
    <w:unhideWhenUsed/>
    <w:rsid w:val="0095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057541">
      <w:bodyDiv w:val="1"/>
      <w:marLeft w:val="0"/>
      <w:marRight w:val="0"/>
      <w:marTop w:val="0"/>
      <w:marBottom w:val="0"/>
      <w:divBdr>
        <w:top w:val="none" w:sz="0" w:space="0" w:color="auto"/>
        <w:left w:val="none" w:sz="0" w:space="0" w:color="auto"/>
        <w:bottom w:val="none" w:sz="0" w:space="0" w:color="auto"/>
        <w:right w:val="none" w:sz="0" w:space="0" w:color="auto"/>
      </w:divBdr>
      <w:divsChild>
        <w:div w:id="347874942">
          <w:marLeft w:val="0"/>
          <w:marRight w:val="0"/>
          <w:marTop w:val="0"/>
          <w:marBottom w:val="0"/>
          <w:divBdr>
            <w:top w:val="none" w:sz="0" w:space="0" w:color="auto"/>
            <w:left w:val="none" w:sz="0" w:space="0" w:color="auto"/>
            <w:bottom w:val="none" w:sz="0" w:space="0" w:color="auto"/>
            <w:right w:val="none" w:sz="0" w:space="0" w:color="auto"/>
          </w:divBdr>
        </w:div>
        <w:div w:id="1129006151">
          <w:marLeft w:val="0"/>
          <w:marRight w:val="0"/>
          <w:marTop w:val="0"/>
          <w:marBottom w:val="0"/>
          <w:divBdr>
            <w:top w:val="none" w:sz="0" w:space="0" w:color="auto"/>
            <w:left w:val="none" w:sz="0" w:space="0" w:color="auto"/>
            <w:bottom w:val="none" w:sz="0" w:space="0" w:color="auto"/>
            <w:right w:val="none" w:sz="0" w:space="0" w:color="auto"/>
          </w:divBdr>
          <w:divsChild>
            <w:div w:id="755787031">
              <w:marLeft w:val="0"/>
              <w:marRight w:val="0"/>
              <w:marTop w:val="0"/>
              <w:marBottom w:val="0"/>
              <w:divBdr>
                <w:top w:val="none" w:sz="0" w:space="0" w:color="auto"/>
                <w:left w:val="none" w:sz="0" w:space="0" w:color="auto"/>
                <w:bottom w:val="none" w:sz="0" w:space="0" w:color="auto"/>
                <w:right w:val="none" w:sz="0" w:space="0" w:color="auto"/>
              </w:divBdr>
              <w:divsChild>
                <w:div w:id="8997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20250240-eib-group-climate-bank-roadmap-phase-2-2026-203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C810F-133F-4C45-AAF7-458CA8DB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2184</Words>
  <Characters>13104</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Santander Consumer Bank S.A.</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Walczyk Dominika</dc:creator>
  <cp:keywords/>
  <dc:description/>
  <cp:lastModifiedBy>Hołys Ewa</cp:lastModifiedBy>
  <cp:revision>4</cp:revision>
  <cp:lastPrinted>2020-01-28T11:19:00Z</cp:lastPrinted>
  <dcterms:created xsi:type="dcterms:W3CDTF">2026-03-11T11:12:00Z</dcterms:created>
  <dcterms:modified xsi:type="dcterms:W3CDTF">2026-03-11T11:33:00Z</dcterms:modified>
</cp:coreProperties>
</file>